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DF486" w14:textId="77777777" w:rsidR="004B2514" w:rsidRPr="00A2348E" w:rsidRDefault="004B2514" w:rsidP="004B2514">
      <w:pPr>
        <w:jc w:val="center"/>
        <w:textAlignment w:val="baseline"/>
        <w:rPr>
          <w:sz w:val="32"/>
        </w:rPr>
      </w:pPr>
      <w:r w:rsidRPr="0090513F">
        <w:rPr>
          <w:rFonts w:eastAsia="Calibri" w:cstheme="minorHAnsi"/>
          <w:noProof/>
          <w:color w:val="000000"/>
          <w:kern w:val="28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69D09" wp14:editId="557312BF">
                <wp:simplePos x="0" y="0"/>
                <wp:positionH relativeFrom="column">
                  <wp:posOffset>-590550</wp:posOffset>
                </wp:positionH>
                <wp:positionV relativeFrom="paragraph">
                  <wp:posOffset>-771525</wp:posOffset>
                </wp:positionV>
                <wp:extent cx="3286125" cy="1403985"/>
                <wp:effectExtent l="0" t="0" r="9525" b="19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3173B" w14:textId="77777777" w:rsidR="004B2514" w:rsidRPr="000623ED" w:rsidRDefault="004B2514" w:rsidP="004B2514">
                            <w:pPr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  <w:t>NEW BUSINESS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  <w:t xml:space="preserve"> ITEM #1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769D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6.5pt;margin-top:-60.75pt;width:25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" stroked="f">
                <v:textbox style="mso-fit-shape-to-text:t">
                  <w:txbxContent>
                    <w:p w14:paraId="3AA3173B" w14:textId="77777777" w:rsidR="004B2514" w:rsidRPr="000623ED" w:rsidRDefault="004B2514" w:rsidP="004B2514">
                      <w:pPr>
                        <w:rPr>
                          <w:rFonts w:ascii="Tahoma" w:hAnsi="Tahoma" w:cs="Tahoma"/>
                          <w:b/>
                          <w:sz w:val="28"/>
                        </w:rPr>
                      </w:pPr>
                      <w:bookmarkStart w:id="1" w:name="_GoBack"/>
                      <w:r>
                        <w:rPr>
                          <w:rFonts w:ascii="Tahoma" w:hAnsi="Tahoma" w:cs="Tahoma"/>
                          <w:b/>
                          <w:sz w:val="28"/>
                        </w:rPr>
                        <w:t>NEW BUSINESS</w:t>
                      </w:r>
                      <w:r>
                        <w:rPr>
                          <w:rFonts w:ascii="Tahoma" w:hAnsi="Tahoma" w:cs="Tahoma"/>
                          <w:b/>
                          <w:sz w:val="28"/>
                        </w:rPr>
                        <w:t xml:space="preserve"> ITEM #1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A2348E">
        <w:rPr>
          <w:b/>
          <w:sz w:val="44"/>
        </w:rPr>
        <w:t>M-E-M-O-R-A-N-D-U-M</w:t>
      </w:r>
      <w:r>
        <w:rPr>
          <w:b/>
          <w:sz w:val="44"/>
        </w:rPr>
        <w:t xml:space="preserve"> </w:t>
      </w:r>
    </w:p>
    <w:p w14:paraId="01AA7646" w14:textId="77777777" w:rsidR="004B2514" w:rsidRPr="00492D00" w:rsidRDefault="004B2514" w:rsidP="004B2514">
      <w:pPr>
        <w:spacing w:after="40" w:line="280" w:lineRule="exact"/>
        <w:rPr>
          <w:rFonts w:ascii="Poppins" w:hAnsi="Poppins" w:cs="Poppins"/>
          <w:sz w:val="24"/>
          <w:szCs w:val="24"/>
        </w:rPr>
      </w:pPr>
      <w:r w:rsidRPr="00492D00">
        <w:rPr>
          <w:rFonts w:ascii="Poppins" w:hAnsi="Poppins" w:cs="Poppins"/>
          <w:sz w:val="24"/>
          <w:szCs w:val="24"/>
        </w:rPr>
        <w:t>TO:</w:t>
      </w:r>
      <w:r w:rsidRPr="00492D00">
        <w:rPr>
          <w:rFonts w:ascii="Poppins" w:hAnsi="Poppins" w:cs="Poppins"/>
          <w:sz w:val="24"/>
          <w:szCs w:val="24"/>
        </w:rPr>
        <w:tab/>
      </w:r>
      <w:r w:rsidRPr="00492D00">
        <w:rPr>
          <w:rFonts w:ascii="Poppins" w:hAnsi="Poppins" w:cs="Poppins"/>
          <w:sz w:val="24"/>
          <w:szCs w:val="24"/>
        </w:rPr>
        <w:tab/>
      </w:r>
      <w:r>
        <w:rPr>
          <w:rFonts w:ascii="Poppins" w:hAnsi="Poppins" w:cs="Poppins"/>
          <w:sz w:val="24"/>
          <w:szCs w:val="24"/>
        </w:rPr>
        <w:t>Board of Delegates</w:t>
      </w:r>
      <w:r w:rsidRPr="00492D00">
        <w:rPr>
          <w:rFonts w:ascii="Poppins" w:hAnsi="Poppins" w:cs="Poppins"/>
          <w:sz w:val="24"/>
          <w:szCs w:val="24"/>
        </w:rPr>
        <w:t>, Piedmont Triad Regional Council</w:t>
      </w:r>
    </w:p>
    <w:p w14:paraId="03881AC0" w14:textId="77777777" w:rsidR="004B2514" w:rsidRPr="00492D00" w:rsidRDefault="004B2514" w:rsidP="004B2514">
      <w:pPr>
        <w:spacing w:after="40" w:line="280" w:lineRule="exact"/>
        <w:rPr>
          <w:rFonts w:ascii="Poppins" w:hAnsi="Poppins" w:cs="Poppins"/>
          <w:sz w:val="24"/>
          <w:szCs w:val="24"/>
        </w:rPr>
      </w:pPr>
      <w:r w:rsidRPr="00492D00">
        <w:rPr>
          <w:rFonts w:ascii="Poppins" w:hAnsi="Poppins" w:cs="Poppins"/>
          <w:sz w:val="24"/>
          <w:szCs w:val="24"/>
        </w:rPr>
        <w:t>FROM:</w:t>
      </w:r>
      <w:r w:rsidRPr="00492D00">
        <w:rPr>
          <w:rFonts w:ascii="Poppins" w:hAnsi="Poppins" w:cs="Poppins"/>
          <w:sz w:val="24"/>
          <w:szCs w:val="24"/>
        </w:rPr>
        <w:tab/>
      </w:r>
      <w:r w:rsidRPr="00492D00">
        <w:rPr>
          <w:rFonts w:ascii="Poppins" w:hAnsi="Poppins" w:cs="Poppins"/>
          <w:sz w:val="24"/>
          <w:szCs w:val="24"/>
        </w:rPr>
        <w:tab/>
      </w:r>
      <w:r>
        <w:rPr>
          <w:rFonts w:ascii="Poppins" w:hAnsi="Poppins" w:cs="Poppins"/>
          <w:sz w:val="24"/>
          <w:szCs w:val="24"/>
        </w:rPr>
        <w:t>Michael Blair</w:t>
      </w:r>
      <w:r w:rsidRPr="00492D00">
        <w:rPr>
          <w:rFonts w:ascii="Poppins" w:hAnsi="Poppins" w:cs="Poppins"/>
          <w:sz w:val="24"/>
          <w:szCs w:val="24"/>
        </w:rPr>
        <w:t xml:space="preserve">, </w:t>
      </w:r>
      <w:r>
        <w:rPr>
          <w:rFonts w:ascii="Poppins" w:hAnsi="Poppins" w:cs="Poppins"/>
          <w:sz w:val="24"/>
          <w:szCs w:val="24"/>
        </w:rPr>
        <w:t>Community Development</w:t>
      </w:r>
      <w:r w:rsidRPr="00492D00">
        <w:rPr>
          <w:rFonts w:ascii="Poppins" w:hAnsi="Poppins" w:cs="Poppins"/>
          <w:sz w:val="24"/>
          <w:szCs w:val="24"/>
        </w:rPr>
        <w:t xml:space="preserve"> Director </w:t>
      </w:r>
    </w:p>
    <w:p w14:paraId="1776D786" w14:textId="77777777" w:rsidR="004B2514" w:rsidRPr="00492D00" w:rsidRDefault="004B2514" w:rsidP="004B2514">
      <w:pPr>
        <w:spacing w:after="40" w:line="280" w:lineRule="exact"/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>DATE:</w:t>
      </w:r>
      <w:r>
        <w:rPr>
          <w:rFonts w:ascii="Poppins" w:hAnsi="Poppins" w:cs="Poppins"/>
          <w:sz w:val="24"/>
          <w:szCs w:val="24"/>
        </w:rPr>
        <w:tab/>
      </w:r>
      <w:r>
        <w:rPr>
          <w:rFonts w:ascii="Poppins" w:hAnsi="Poppins" w:cs="Poppins"/>
          <w:sz w:val="24"/>
          <w:szCs w:val="24"/>
        </w:rPr>
        <w:tab/>
        <w:t>October 20</w:t>
      </w:r>
      <w:r w:rsidRPr="00492D00">
        <w:rPr>
          <w:rFonts w:ascii="Poppins" w:hAnsi="Poppins" w:cs="Poppins"/>
          <w:sz w:val="24"/>
          <w:szCs w:val="24"/>
        </w:rPr>
        <w:t>, 2021</w:t>
      </w:r>
    </w:p>
    <w:p w14:paraId="4536FAC0" w14:textId="77777777" w:rsidR="004B2514" w:rsidRPr="004B2514" w:rsidRDefault="004B2514" w:rsidP="004B2514">
      <w:pPr>
        <w:spacing w:after="40" w:line="280" w:lineRule="exact"/>
        <w:rPr>
          <w:rFonts w:ascii="Poppins" w:hAnsi="Poppins" w:cs="Poppins"/>
          <w:sz w:val="24"/>
          <w:szCs w:val="24"/>
        </w:rPr>
      </w:pPr>
      <w:r w:rsidRPr="00492D00">
        <w:rPr>
          <w:rFonts w:ascii="Poppins" w:hAnsi="Poppins" w:cs="Poppins"/>
          <w:sz w:val="24"/>
          <w:szCs w:val="24"/>
        </w:rPr>
        <w:t>RE:</w:t>
      </w:r>
      <w:r w:rsidRPr="00492D00">
        <w:rPr>
          <w:rFonts w:ascii="Poppins" w:hAnsi="Poppins" w:cs="Poppins"/>
          <w:sz w:val="24"/>
          <w:szCs w:val="24"/>
        </w:rPr>
        <w:tab/>
      </w:r>
      <w:r w:rsidRPr="004B2514">
        <w:rPr>
          <w:rFonts w:ascii="Poppins" w:hAnsi="Poppins" w:cs="Poppins"/>
          <w:sz w:val="28"/>
          <w:szCs w:val="24"/>
        </w:rPr>
        <w:tab/>
      </w:r>
      <w:r w:rsidRPr="004B2514">
        <w:rPr>
          <w:rFonts w:ascii="Poppins" w:hAnsi="Poppins" w:cs="Poppins"/>
          <w:sz w:val="24"/>
        </w:rPr>
        <w:t>HUD Weatherization Coordination Demonstration Grant</w:t>
      </w:r>
    </w:p>
    <w:p w14:paraId="693E627D" w14:textId="77777777" w:rsidR="004B2514" w:rsidRPr="004B2514" w:rsidRDefault="004B2514" w:rsidP="004B2514">
      <w:r w:rsidRPr="004B2514">
        <w:t> </w:t>
      </w:r>
    </w:p>
    <w:p w14:paraId="1955498D" w14:textId="77777777" w:rsidR="004B2514" w:rsidRPr="004B2514" w:rsidRDefault="004B2514" w:rsidP="004B2514">
      <w:pPr>
        <w:rPr>
          <w:rFonts w:ascii="Poppins" w:hAnsi="Poppins" w:cs="Poppins"/>
          <w:sz w:val="24"/>
        </w:rPr>
      </w:pPr>
      <w:r w:rsidRPr="004B2514">
        <w:t> </w:t>
      </w:r>
      <w:r w:rsidRPr="004B2514">
        <w:rPr>
          <w:rFonts w:ascii="Poppins" w:hAnsi="Poppins" w:cs="Poppins"/>
          <w:sz w:val="24"/>
        </w:rPr>
        <w:t>The Department of Housing and Urban Development (HUD) has awarded the PTRC, as a direct grant recipient, $1,000,000 to partner with City of Greensboro’s Lead-Safe Housing Program, University of North Carolina at Greensboro Center for Housing &amp; Community Studies, North Carolina Agricultural and Technical State University Center for Energy Research and Technology, North Carolina Justice Center, and the North Carolina State Energy Program to implement a collaborative program to address housing issues of low-income families related to lead-based paint, healthy homes, and energy efficiency and weatherization. The PTRC is one of only five applicants nationwide to receive an award this round.</w:t>
      </w:r>
    </w:p>
    <w:p w14:paraId="77F36E86" w14:textId="77777777" w:rsidR="004B2514" w:rsidRPr="004B2514" w:rsidRDefault="004B2514" w:rsidP="004B2514">
      <w:pPr>
        <w:rPr>
          <w:rFonts w:ascii="Poppins" w:hAnsi="Poppins" w:cs="Poppins"/>
          <w:sz w:val="24"/>
        </w:rPr>
      </w:pPr>
      <w:r w:rsidRPr="004B2514">
        <w:rPr>
          <w:rFonts w:ascii="Poppins" w:hAnsi="Poppins" w:cs="Poppins"/>
          <w:sz w:val="24"/>
        </w:rPr>
        <w:t> The program will implement a protocol that includes joint applications, inspections/assessments and intervention measures that will reduce the burden on applicants to navigate multiple agencies for these services.</w:t>
      </w:r>
    </w:p>
    <w:p w14:paraId="50E415BF" w14:textId="77777777" w:rsidR="004B2514" w:rsidRPr="004B2514" w:rsidRDefault="004B2514" w:rsidP="004B2514">
      <w:pPr>
        <w:rPr>
          <w:rFonts w:ascii="Poppins" w:hAnsi="Poppins" w:cs="Poppins"/>
          <w:sz w:val="24"/>
        </w:rPr>
      </w:pPr>
      <w:r w:rsidRPr="004B2514">
        <w:rPr>
          <w:rFonts w:ascii="Poppins" w:hAnsi="Poppins" w:cs="Poppins"/>
          <w:sz w:val="24"/>
        </w:rPr>
        <w:t> The grant will include 20 homes that will receive services that have members of households living in units that include either a young child (age 6 or under), an elderly person (age 62 or over), a pregnant woman, or a person with a disability or illness that could benefit from home modification (e.g., poorly controlled asthma, Chronic Obstructive Pulmonary Disease (COPD)) or the household has a high energy burden.</w:t>
      </w:r>
    </w:p>
    <w:p w14:paraId="59231F05" w14:textId="77777777" w:rsidR="004B2514" w:rsidRPr="004B2514" w:rsidRDefault="004B2514" w:rsidP="004B2514">
      <w:pPr>
        <w:rPr>
          <w:rFonts w:ascii="Poppins" w:hAnsi="Poppins" w:cs="Poppins"/>
          <w:sz w:val="24"/>
        </w:rPr>
      </w:pPr>
      <w:r w:rsidRPr="004B2514">
        <w:rPr>
          <w:rFonts w:ascii="Poppins" w:hAnsi="Poppins" w:cs="Poppins"/>
          <w:sz w:val="24"/>
        </w:rPr>
        <w:t> </w:t>
      </w:r>
    </w:p>
    <w:p w14:paraId="3369EC77" w14:textId="77777777" w:rsidR="001C314C" w:rsidRDefault="004B2514">
      <w:r w:rsidRPr="004B2514">
        <w:rPr>
          <w:rFonts w:ascii="Poppins" w:hAnsi="Poppins" w:cs="Poppins"/>
          <w:b/>
          <w:bCs/>
          <w:sz w:val="24"/>
        </w:rPr>
        <w:t xml:space="preserve">ACTION REQUESTED: </w:t>
      </w:r>
      <w:r w:rsidRPr="004B2514">
        <w:rPr>
          <w:rFonts w:ascii="Poppins" w:hAnsi="Poppins" w:cs="Poppins"/>
          <w:sz w:val="24"/>
        </w:rPr>
        <w:t>The PTRC Community Development Department is requesting approval from the board to accept the awarded HUD $1,000,000 Weatherization Coordination Demonstration Grant Program</w:t>
      </w:r>
    </w:p>
    <w:sectPr w:rsidR="001C3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4"/>
    <w:rsid w:val="001C314C"/>
    <w:rsid w:val="004B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A9181"/>
  <w15:chartTrackingRefBased/>
  <w15:docId w15:val="{D8B22D85-7936-4F46-B5CF-F43BC9E7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514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3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0A61CE21F8624B92C194655DFE6720" ma:contentTypeVersion="12" ma:contentTypeDescription="Create a new document." ma:contentTypeScope="" ma:versionID="5e768554e965a1c2549169bc7b86fec4">
  <xsd:schema xmlns:xsd="http://www.w3.org/2001/XMLSchema" xmlns:xs="http://www.w3.org/2001/XMLSchema" xmlns:p="http://schemas.microsoft.com/office/2006/metadata/properties" xmlns:ns3="572bd9a0-5b76-4ff6-81df-ed487fbb0a2c" xmlns:ns4="61a5aab9-b34f-432b-b202-0bb9f889ca3d" targetNamespace="http://schemas.microsoft.com/office/2006/metadata/properties" ma:root="true" ma:fieldsID="dc7e5ceea88f5f26f15f8989c1501dbc" ns3:_="" ns4:_="">
    <xsd:import namespace="572bd9a0-5b76-4ff6-81df-ed487fbb0a2c"/>
    <xsd:import namespace="61a5aab9-b34f-432b-b202-0bb9f889ca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bd9a0-5b76-4ff6-81df-ed487fbb0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5aab9-b34f-432b-b202-0bb9f889ca3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B73FF6-490B-44AF-8005-06019835F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bd9a0-5b76-4ff6-81df-ed487fbb0a2c"/>
    <ds:schemaRef ds:uri="61a5aab9-b34f-432b-b202-0bb9f889c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73523D-2DCE-4D96-AEC4-7BBB9FC92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ADE205-D8B1-4ECF-8EDB-0104CBFE5587}">
  <ds:schemaRefs>
    <ds:schemaRef ds:uri="61a5aab9-b34f-432b-b202-0bb9f889ca3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72bd9a0-5b76-4ff6-81df-ed487fbb0a2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Mitchell</dc:creator>
  <cp:keywords/>
  <dc:description/>
  <cp:lastModifiedBy>Katie Mitchell</cp:lastModifiedBy>
  <cp:revision>1</cp:revision>
  <dcterms:created xsi:type="dcterms:W3CDTF">2021-10-16T13:32:00Z</dcterms:created>
  <dcterms:modified xsi:type="dcterms:W3CDTF">2021-10-16T13:34:00Z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0x010100860A61CE21F8624B92C194655DFE6720</vt:lpwstr>
  </property>
</Properties>
</file>