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891A" w14:textId="77777777" w:rsidR="00144A7E" w:rsidRPr="007F7AEC" w:rsidRDefault="007F7AEC" w:rsidP="00144A7E">
      <w:pPr>
        <w:spacing w:after="200" w:line="240" w:lineRule="auto"/>
        <w:contextualSpacing/>
        <w:jc w:val="center"/>
        <w:rPr>
          <w:rFonts w:ascii="Poppins" w:eastAsia="Calibri" w:hAnsi="Poppins" w:cs="Poppins"/>
          <w:b/>
          <w:sz w:val="40"/>
        </w:rPr>
      </w:pPr>
      <w:r>
        <w:rPr>
          <w:rFonts w:eastAsia="Calibri" w:cstheme="minorHAnsi"/>
          <w:b/>
          <w:noProof/>
          <w:sz w:val="40"/>
        </w:rPr>
        <w:drawing>
          <wp:anchor distT="0" distB="0" distL="114300" distR="114300" simplePos="0" relativeHeight="251668480" behindDoc="1" locked="0" layoutInCell="1" allowOverlap="1" wp14:anchorId="37DD925A" wp14:editId="4A4464CE">
            <wp:simplePos x="0" y="0"/>
            <wp:positionH relativeFrom="column">
              <wp:posOffset>1798655</wp:posOffset>
            </wp:positionH>
            <wp:positionV relativeFrom="paragraph">
              <wp:posOffset>-934497</wp:posOffset>
            </wp:positionV>
            <wp:extent cx="3332873" cy="147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Refreshed Logos-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4208" cy="1475025"/>
                    </a:xfrm>
                    <a:prstGeom prst="rect">
                      <a:avLst/>
                    </a:prstGeom>
                  </pic:spPr>
                </pic:pic>
              </a:graphicData>
            </a:graphic>
            <wp14:sizeRelH relativeFrom="margin">
              <wp14:pctWidth>0</wp14:pctWidth>
            </wp14:sizeRelH>
            <wp14:sizeRelV relativeFrom="margin">
              <wp14:pctHeight>0</wp14:pctHeight>
            </wp14:sizeRelV>
          </wp:anchor>
        </w:drawing>
      </w:r>
      <w:r w:rsidR="008B2A43"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3CDC1212" wp14:editId="61AE1135">
                <wp:simplePos x="0" y="0"/>
                <wp:positionH relativeFrom="page">
                  <wp:posOffset>6349</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C280D" id="Rectangle 3" o:spid="_x0000_s1026" style="position:absolute;margin-left:.5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" fillcolor="#8bac86" stroked="f" strokeweight="2pt">
                <w10:wrap anchorx="page"/>
              </v:rect>
            </w:pict>
          </mc:Fallback>
        </mc:AlternateContent>
      </w:r>
      <w:r w:rsidR="00326F84"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6DD701D5" wp14:editId="6C6E3193">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D670A" id="Rectangle 9" o:spid="_x0000_s1026"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fillcolor="#8bac86" stroked="f" strokeweight="2pt"/>
            </w:pict>
          </mc:Fallback>
        </mc:AlternateContent>
      </w:r>
      <w:r w:rsidR="00144A7E" w:rsidRPr="36733AB5">
        <w:rPr>
          <w:rFonts w:eastAsia="Calibri"/>
          <w:b/>
          <w:bCs/>
          <w:sz w:val="40"/>
          <w:szCs w:val="40"/>
        </w:rPr>
        <w:t xml:space="preserve">           </w:t>
      </w:r>
    </w:p>
    <w:p w14:paraId="2D32712E" w14:textId="77777777" w:rsidR="00144A7E" w:rsidRPr="007F7AEC" w:rsidRDefault="007F7AEC" w:rsidP="007F7AEC">
      <w:pPr>
        <w:spacing w:after="200" w:line="240" w:lineRule="auto"/>
        <w:contextualSpacing/>
        <w:jc w:val="center"/>
        <w:rPr>
          <w:rFonts w:ascii="Poppins" w:eastAsia="Calibri" w:hAnsi="Poppins" w:cs="Poppins"/>
          <w:b/>
          <w:sz w:val="36"/>
        </w:rPr>
      </w:pPr>
      <w:r>
        <w:rPr>
          <w:rFonts w:ascii="Poppins" w:eastAsia="Calibri" w:hAnsi="Poppins" w:cs="Poppins"/>
          <w:b/>
          <w:sz w:val="40"/>
        </w:rPr>
        <w:t xml:space="preserve">             </w:t>
      </w:r>
      <w:r w:rsidR="00144A7E" w:rsidRPr="007F7AEC">
        <w:rPr>
          <w:rFonts w:ascii="Poppins" w:eastAsia="Calibri" w:hAnsi="Poppins" w:cs="Poppins"/>
          <w:b/>
          <w:sz w:val="40"/>
        </w:rPr>
        <w:t xml:space="preserve"> </w:t>
      </w:r>
      <w:r w:rsidR="00144A7E" w:rsidRPr="007F7AEC">
        <w:rPr>
          <w:rFonts w:ascii="Poppins" w:eastAsia="Calibri" w:hAnsi="Poppins" w:cs="Poppins"/>
          <w:b/>
          <w:sz w:val="36"/>
        </w:rPr>
        <w:t>Executive Committee</w:t>
      </w:r>
    </w:p>
    <w:p w14:paraId="032CB72C" w14:textId="77777777" w:rsidR="00144A7E" w:rsidRPr="007F7AEC" w:rsidRDefault="00144A7E" w:rsidP="00144A7E">
      <w:pPr>
        <w:spacing w:after="200" w:line="240" w:lineRule="auto"/>
        <w:contextualSpacing/>
        <w:jc w:val="center"/>
        <w:rPr>
          <w:rFonts w:ascii="Poppins" w:eastAsia="Calibri" w:hAnsi="Poppins" w:cs="Poppins"/>
          <w:b/>
          <w:szCs w:val="24"/>
        </w:rPr>
      </w:pPr>
      <w:r w:rsidRPr="007F7AEC">
        <w:rPr>
          <w:rFonts w:ascii="Poppins" w:eastAsia="Calibri" w:hAnsi="Poppins" w:cs="Poppins"/>
          <w:b/>
          <w:sz w:val="36"/>
        </w:rPr>
        <w:t xml:space="preserve">                Minutes</w:t>
      </w:r>
    </w:p>
    <w:p w14:paraId="657BD512" w14:textId="6964A77D" w:rsidR="007A740C" w:rsidRPr="007F7AEC" w:rsidRDefault="00144A7E" w:rsidP="007A740C">
      <w:pPr>
        <w:spacing w:after="200" w:line="240" w:lineRule="auto"/>
        <w:contextualSpacing/>
        <w:jc w:val="center"/>
        <w:rPr>
          <w:rFonts w:ascii="Poppins" w:eastAsia="Calibri" w:hAnsi="Poppins" w:cs="Poppins"/>
          <w:sz w:val="32"/>
          <w:szCs w:val="24"/>
        </w:rPr>
      </w:pPr>
      <w:r w:rsidRPr="006F38D7">
        <w:rPr>
          <w:rFonts w:eastAsia="Calibri" w:cstheme="minorHAnsi"/>
          <w:sz w:val="28"/>
          <w:szCs w:val="24"/>
        </w:rPr>
        <w:t xml:space="preserve">                                       </w:t>
      </w:r>
      <w:r w:rsidR="00540A9B" w:rsidRPr="007F7AEC">
        <w:rPr>
          <w:rFonts w:ascii="Poppins" w:eastAsia="Calibri" w:hAnsi="Poppins" w:cs="Poppins"/>
          <w:sz w:val="32"/>
          <w:szCs w:val="24"/>
        </w:rPr>
        <w:t xml:space="preserve">Wednesday, </w:t>
      </w:r>
      <w:r w:rsidR="00E624A4">
        <w:rPr>
          <w:rFonts w:ascii="Poppins" w:eastAsia="Calibri" w:hAnsi="Poppins" w:cs="Poppins"/>
          <w:sz w:val="32"/>
          <w:szCs w:val="24"/>
        </w:rPr>
        <w:t>March</w:t>
      </w:r>
      <w:r w:rsidR="00656248">
        <w:rPr>
          <w:rFonts w:ascii="Poppins" w:eastAsia="Calibri" w:hAnsi="Poppins" w:cs="Poppins"/>
          <w:sz w:val="32"/>
          <w:szCs w:val="24"/>
        </w:rPr>
        <w:t xml:space="preserve"> 1</w:t>
      </w:r>
      <w:r w:rsidR="00E82941">
        <w:rPr>
          <w:rFonts w:ascii="Poppins" w:eastAsia="Calibri" w:hAnsi="Poppins" w:cs="Poppins"/>
          <w:sz w:val="32"/>
          <w:szCs w:val="24"/>
        </w:rPr>
        <w:t>, 202</w:t>
      </w:r>
      <w:r w:rsidR="00656248">
        <w:rPr>
          <w:rFonts w:ascii="Poppins" w:eastAsia="Calibri" w:hAnsi="Poppins" w:cs="Poppins"/>
          <w:sz w:val="32"/>
          <w:szCs w:val="24"/>
        </w:rPr>
        <w:t>3</w:t>
      </w:r>
    </w:p>
    <w:p w14:paraId="5AA9F552" w14:textId="77777777" w:rsidR="007F7AEC" w:rsidRPr="006F38D7" w:rsidRDefault="007F7AEC" w:rsidP="007F7AEC">
      <w:pPr>
        <w:spacing w:after="200" w:line="240" w:lineRule="auto"/>
        <w:ind w:left="2160"/>
        <w:contextualSpacing/>
        <w:jc w:val="center"/>
        <w:rPr>
          <w:rFonts w:eastAsia="Calibri" w:cstheme="minorHAnsi"/>
          <w:sz w:val="24"/>
        </w:rPr>
      </w:pPr>
      <w:r>
        <w:rPr>
          <w:rFonts w:ascii="Poppins" w:eastAsia="Calibri" w:hAnsi="Poppins" w:cs="Poppins"/>
          <w:sz w:val="24"/>
        </w:rPr>
        <w:t xml:space="preserve">   Hybrid Attendance (In Person and ZOOM)</w:t>
      </w:r>
      <w:r w:rsidR="00144A7E" w:rsidRPr="007F7AEC">
        <w:rPr>
          <w:rFonts w:ascii="Poppins" w:eastAsia="Calibri" w:hAnsi="Poppins" w:cs="Poppins"/>
          <w:sz w:val="24"/>
        </w:rPr>
        <w:t xml:space="preserve">                             </w:t>
      </w:r>
    </w:p>
    <w:p w14:paraId="4903EAE5" w14:textId="77777777" w:rsidR="00047FC1" w:rsidRPr="00F77954" w:rsidRDefault="00810067" w:rsidP="00047FC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1440"/>
        <w:contextualSpacing/>
        <w:rPr>
          <w:rFonts w:eastAsia="Calibri" w:cstheme="minorHAnsi"/>
          <w:b/>
          <w:lang w:val="en-GB"/>
        </w:rPr>
      </w:pPr>
      <w:r w:rsidRPr="006F38D7">
        <w:rPr>
          <w:rFonts w:eastAsia="Calibri" w:cstheme="minorHAnsi"/>
          <w:sz w:val="24"/>
        </w:rPr>
        <w:tab/>
      </w:r>
      <w:r w:rsidR="00126165" w:rsidRPr="006F38D7">
        <w:rPr>
          <w:rFonts w:eastAsia="Calibri" w:cstheme="minorHAnsi"/>
          <w:sz w:val="24"/>
        </w:rPr>
        <w:br/>
      </w:r>
      <w:r w:rsidR="00047FC1" w:rsidRPr="00F77954">
        <w:rPr>
          <w:rFonts w:eastAsia="Calibri" w:cstheme="minorHAnsi"/>
          <w:b/>
          <w:sz w:val="24"/>
          <w:lang w:val="en-GB"/>
        </w:rPr>
        <w:t>M</w:t>
      </w:r>
      <w:r w:rsidR="00047FC1" w:rsidRPr="00F77954">
        <w:rPr>
          <w:rFonts w:eastAsia="Calibri" w:cstheme="minorHAnsi"/>
          <w:b/>
          <w:lang w:val="en-GB"/>
        </w:rPr>
        <w:t>embers Present:</w:t>
      </w:r>
    </w:p>
    <w:p w14:paraId="1CACA202" w14:textId="2A9FFACB" w:rsidR="009D754C" w:rsidRPr="009D754C" w:rsidRDefault="009D754C" w:rsidP="009D754C">
      <w:pPr>
        <w:spacing w:after="200"/>
        <w:ind w:left="1440"/>
        <w:contextualSpacing/>
        <w:rPr>
          <w:rFonts w:eastAsia="Calibri" w:cstheme="minorHAnsi"/>
          <w:lang w:val="en-GB"/>
        </w:rPr>
      </w:pPr>
      <w:r w:rsidRPr="009D754C">
        <w:rPr>
          <w:rFonts w:eastAsia="Calibri" w:cstheme="minorHAnsi"/>
          <w:lang w:val="en-GB"/>
        </w:rPr>
        <w:t xml:space="preserve">Councilwoman Marikay Abuzuaiter, City of Greensboro </w:t>
      </w:r>
      <w:r>
        <w:rPr>
          <w:rFonts w:eastAsia="Calibri" w:cstheme="minorHAnsi"/>
          <w:lang w:val="en-GB"/>
        </w:rPr>
        <w:t>(Z)</w:t>
      </w:r>
    </w:p>
    <w:p w14:paraId="51BEA8A9" w14:textId="2D2C6DF7" w:rsidR="009070F4" w:rsidRPr="009D754C" w:rsidRDefault="009070F4" w:rsidP="00047FC1">
      <w:pPr>
        <w:spacing w:after="200"/>
        <w:ind w:left="1440"/>
        <w:contextualSpacing/>
        <w:rPr>
          <w:rFonts w:eastAsia="Calibri" w:cstheme="minorHAnsi"/>
          <w:lang w:val="en-GB"/>
        </w:rPr>
      </w:pPr>
      <w:r w:rsidRPr="009D754C">
        <w:rPr>
          <w:rFonts w:eastAsia="Calibri" w:cstheme="minorHAnsi"/>
          <w:lang w:val="en-GB"/>
        </w:rPr>
        <w:t>Mayor Kelly Allen, Town of Haw River</w:t>
      </w:r>
    </w:p>
    <w:p w14:paraId="4A25150B" w14:textId="66E747E9" w:rsidR="00047FC1" w:rsidRPr="009D754C" w:rsidRDefault="00047FC1" w:rsidP="00047FC1">
      <w:pPr>
        <w:spacing w:after="200"/>
        <w:ind w:left="1440"/>
        <w:contextualSpacing/>
        <w:rPr>
          <w:rFonts w:eastAsia="Calibri" w:cstheme="minorHAnsi"/>
          <w:lang w:val="en-GB"/>
        </w:rPr>
      </w:pPr>
      <w:r w:rsidRPr="009D754C">
        <w:rPr>
          <w:rFonts w:eastAsia="Calibri" w:cstheme="minorHAnsi"/>
          <w:lang w:val="en-GB"/>
        </w:rPr>
        <w:t xml:space="preserve">Commissioner Kevin Austin, </w:t>
      </w:r>
      <w:proofErr w:type="spellStart"/>
      <w:r w:rsidRPr="009D754C">
        <w:rPr>
          <w:rFonts w:eastAsia="Calibri" w:cstheme="minorHAnsi"/>
          <w:lang w:val="en-GB"/>
        </w:rPr>
        <w:t>Yadkin</w:t>
      </w:r>
      <w:proofErr w:type="spellEnd"/>
      <w:r w:rsidRPr="009D754C">
        <w:rPr>
          <w:rFonts w:eastAsia="Calibri" w:cstheme="minorHAnsi"/>
          <w:lang w:val="en-GB"/>
        </w:rPr>
        <w:t xml:space="preserve"> County </w:t>
      </w:r>
    </w:p>
    <w:p w14:paraId="0BA51CF1" w14:textId="1F14350E" w:rsidR="00047FC1" w:rsidRPr="009D754C" w:rsidRDefault="00B172ED" w:rsidP="00047FC1">
      <w:pPr>
        <w:spacing w:after="200"/>
        <w:ind w:left="1440"/>
        <w:contextualSpacing/>
        <w:rPr>
          <w:rFonts w:eastAsia="Calibri" w:cstheme="minorHAnsi"/>
          <w:lang w:val="en-GB"/>
        </w:rPr>
      </w:pPr>
      <w:r w:rsidRPr="009D754C">
        <w:rPr>
          <w:rFonts w:eastAsia="Calibri" w:cstheme="minorHAnsi"/>
          <w:lang w:val="en-GB"/>
        </w:rPr>
        <w:t xml:space="preserve">Mayor Pro </w:t>
      </w:r>
      <w:proofErr w:type="spellStart"/>
      <w:r w:rsidRPr="009D754C">
        <w:rPr>
          <w:rFonts w:eastAsia="Calibri" w:cstheme="minorHAnsi"/>
          <w:lang w:val="en-GB"/>
        </w:rPr>
        <w:t>Tem</w:t>
      </w:r>
      <w:proofErr w:type="spellEnd"/>
      <w:r w:rsidR="00047FC1" w:rsidRPr="009D754C">
        <w:rPr>
          <w:rFonts w:eastAsia="Calibri" w:cstheme="minorHAnsi"/>
          <w:lang w:val="en-GB"/>
        </w:rPr>
        <w:t xml:space="preserve"> Renee Bryant, City of Randleman</w:t>
      </w:r>
      <w:r w:rsidR="009D754C">
        <w:rPr>
          <w:rFonts w:eastAsia="Calibri" w:cstheme="minorHAnsi"/>
          <w:lang w:val="en-GB"/>
        </w:rPr>
        <w:t xml:space="preserve"> (Z)</w:t>
      </w:r>
    </w:p>
    <w:p w14:paraId="260132AF" w14:textId="77777777" w:rsidR="00F07FB2" w:rsidRPr="009D754C" w:rsidRDefault="00F07FB2" w:rsidP="00F07FB2">
      <w:pPr>
        <w:spacing w:after="200"/>
        <w:ind w:left="1440"/>
        <w:contextualSpacing/>
        <w:rPr>
          <w:rFonts w:eastAsia="Calibri" w:cstheme="minorHAnsi"/>
          <w:lang w:val="en-GB"/>
        </w:rPr>
      </w:pPr>
      <w:r w:rsidRPr="009D754C">
        <w:rPr>
          <w:rFonts w:eastAsia="Calibri" w:cstheme="minorHAnsi"/>
          <w:lang w:val="en-GB"/>
        </w:rPr>
        <w:t>Mayor Rick Cross, Town of Bermuda Run</w:t>
      </w:r>
    </w:p>
    <w:p w14:paraId="377F99A8" w14:textId="7D6896B2" w:rsidR="00B57030" w:rsidRPr="009D754C" w:rsidRDefault="00B57030" w:rsidP="00B57030">
      <w:pPr>
        <w:spacing w:after="200"/>
        <w:ind w:left="1440"/>
        <w:contextualSpacing/>
        <w:rPr>
          <w:rFonts w:eastAsia="Calibri" w:cstheme="minorHAnsi"/>
          <w:lang w:val="en-GB"/>
        </w:rPr>
      </w:pPr>
      <w:r w:rsidRPr="009D754C">
        <w:rPr>
          <w:rFonts w:eastAsia="Calibri" w:cstheme="minorHAnsi"/>
          <w:lang w:val="en-GB"/>
        </w:rPr>
        <w:t xml:space="preserve">Mayor Pro </w:t>
      </w:r>
      <w:proofErr w:type="spellStart"/>
      <w:r w:rsidRPr="009D754C">
        <w:rPr>
          <w:rFonts w:eastAsia="Calibri" w:cstheme="minorHAnsi"/>
          <w:lang w:val="en-GB"/>
        </w:rPr>
        <w:t>Tem</w:t>
      </w:r>
      <w:proofErr w:type="spellEnd"/>
      <w:r w:rsidRPr="009D754C">
        <w:rPr>
          <w:rFonts w:eastAsia="Calibri" w:cstheme="minorHAnsi"/>
          <w:lang w:val="en-GB"/>
        </w:rPr>
        <w:t xml:space="preserve"> Monta Davis-Oliver, Town of Yadkinville</w:t>
      </w:r>
      <w:r w:rsidR="009D754C">
        <w:rPr>
          <w:rFonts w:eastAsia="Calibri" w:cstheme="minorHAnsi"/>
          <w:lang w:val="en-GB"/>
        </w:rPr>
        <w:t xml:space="preserve"> (Z)</w:t>
      </w:r>
    </w:p>
    <w:p w14:paraId="2314A157" w14:textId="353E662C" w:rsidR="00F07FB2" w:rsidRPr="009D754C" w:rsidRDefault="00F07FB2" w:rsidP="00F07FB2">
      <w:pPr>
        <w:spacing w:after="200"/>
        <w:ind w:left="1440"/>
        <w:contextualSpacing/>
        <w:rPr>
          <w:rFonts w:eastAsia="Calibri" w:cstheme="minorHAnsi"/>
          <w:lang w:val="en-GB"/>
        </w:rPr>
      </w:pPr>
      <w:r w:rsidRPr="009D754C">
        <w:rPr>
          <w:rFonts w:eastAsia="Calibri" w:cstheme="minorHAnsi"/>
          <w:lang w:val="en-GB"/>
        </w:rPr>
        <w:t>Commissioner Benita Finney, Davie County (Z)</w:t>
      </w:r>
    </w:p>
    <w:p w14:paraId="7EEFC53C" w14:textId="77777777" w:rsidR="00047FC1" w:rsidRPr="009D754C" w:rsidRDefault="00047FC1" w:rsidP="00047FC1">
      <w:pPr>
        <w:spacing w:after="200"/>
        <w:ind w:left="1440"/>
        <w:contextualSpacing/>
        <w:rPr>
          <w:rFonts w:eastAsia="Calibri" w:cstheme="minorHAnsi"/>
          <w:lang w:val="en-GB"/>
        </w:rPr>
      </w:pPr>
      <w:r w:rsidRPr="009D754C">
        <w:rPr>
          <w:rFonts w:eastAsia="Calibri" w:cstheme="minorHAnsi"/>
          <w:b/>
          <w:noProof/>
        </w:rPr>
        <mc:AlternateContent>
          <mc:Choice Requires="wps">
            <w:drawing>
              <wp:anchor distT="36576" distB="36576" distL="36576" distR="36576" simplePos="0" relativeHeight="251670528" behindDoc="0" locked="0" layoutInCell="1" allowOverlap="1" wp14:anchorId="2CA591F8" wp14:editId="66DD931C">
                <wp:simplePos x="0" y="0"/>
                <wp:positionH relativeFrom="column">
                  <wp:posOffset>-5631816</wp:posOffset>
                </wp:positionH>
                <wp:positionV relativeFrom="paragraph">
                  <wp:posOffset>381168</wp:posOffset>
                </wp:positionV>
                <wp:extent cx="11015980" cy="1118870"/>
                <wp:effectExtent l="0" t="444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0A1B143F" w14:textId="77777777" w:rsidR="00A90DD4" w:rsidRPr="000B5CDF" w:rsidRDefault="00A90DD4" w:rsidP="00047FC1">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4BE478C5" w14:textId="77777777" w:rsidR="00A90DD4" w:rsidRDefault="00A90DD4" w:rsidP="00047FC1">
                            <w:pPr>
                              <w:pStyle w:val="Footer"/>
                              <w:widowControl w:val="0"/>
                              <w:jc w:val="center"/>
                              <w:rPr>
                                <w:rFonts w:ascii="Bookman Old Style" w:hAnsi="Bookman Old Style"/>
                                <w:b/>
                              </w:rPr>
                            </w:pPr>
                            <w:r>
                              <w:rPr>
                                <w:rFonts w:ascii="Bookman Old Style" w:hAnsi="Bookman Old Style"/>
                                <w:b/>
                              </w:rPr>
                              <w:t xml:space="preserve">   </w:t>
                            </w:r>
                          </w:p>
                          <w:p w14:paraId="16FA0D23" w14:textId="77777777" w:rsidR="00A90DD4" w:rsidRPr="00BE6A38" w:rsidRDefault="00A90DD4" w:rsidP="00047FC1">
                            <w:pPr>
                              <w:jc w:val="right"/>
                              <w:rPr>
                                <w:rFonts w:ascii="Cambria" w:hAnsi="Cambria" w:cstheme="minorHAnsi"/>
                                <w:b/>
                                <w:color w:val="FFFFFF"/>
                                <w:w w:val="98"/>
                                <w:kern w:val="16"/>
                              </w:rPr>
                            </w:pPr>
                          </w:p>
                          <w:p w14:paraId="11D6BCF4" w14:textId="77777777" w:rsidR="00A90DD4" w:rsidRDefault="00A90DD4" w:rsidP="00047FC1">
                            <w:pPr>
                              <w:pStyle w:val="Footer"/>
                              <w:widowControl w:val="0"/>
                              <w:jc w:val="center"/>
                              <w:rPr>
                                <w:rFonts w:ascii="Bookman Old Style" w:hAnsi="Bookman Old Style"/>
                                <w:sz w:val="16"/>
                                <w:szCs w:val="16"/>
                              </w:rPr>
                            </w:pPr>
                          </w:p>
                          <w:p w14:paraId="761B89D2" w14:textId="77777777" w:rsidR="00A90DD4" w:rsidRDefault="00A90DD4" w:rsidP="00047FC1">
                            <w:pPr>
                              <w:pStyle w:val="Footer"/>
                              <w:widowControl w:val="0"/>
                              <w:jc w:val="center"/>
                              <w:rPr>
                                <w:rFonts w:ascii="Bookman Old Style" w:hAnsi="Bookman Old Style"/>
                                <w:sz w:val="16"/>
                                <w:szCs w:val="16"/>
                              </w:rPr>
                            </w:pPr>
                          </w:p>
                          <w:p w14:paraId="19832B70" w14:textId="77777777" w:rsidR="00A90DD4" w:rsidRDefault="00A90DD4" w:rsidP="00047FC1">
                            <w:pPr>
                              <w:pStyle w:val="Footer"/>
                              <w:widowControl w:val="0"/>
                              <w:jc w:val="center"/>
                              <w:rPr>
                                <w:rFonts w:ascii="Bookman Old Style" w:hAnsi="Bookman Old Style"/>
                                <w:sz w:val="16"/>
                                <w:szCs w:val="16"/>
                              </w:rPr>
                            </w:pPr>
                          </w:p>
                          <w:p w14:paraId="58261BC3" w14:textId="77777777" w:rsidR="00A90DD4" w:rsidRPr="0004352A" w:rsidRDefault="00A90DD4" w:rsidP="00047FC1">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591F8" id="_x0000_t202" coordsize="21600,21600" o:spt="202" path="m,l,21600r21600,l21600,xe">
                <v:stroke joinstyle="miter"/>
                <v:path gradientshapeok="t" o:connecttype="rect"/>
              </v:shapetype>
              <v:shape id="Text Box 2" o:spid="_x0000_s1026" type="#_x0000_t202" style="position:absolute;left:0;text-align:left;margin-left:-443.45pt;margin-top:30pt;width:867.4pt;height:88.1pt;rotation:-9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" fillcolor="#036" stroked="f" strokeweight="0" insetpen="t">
                <v:fill opacity="62194f"/>
                <v:shadow color="white"/>
                <o:lock v:ext="edit" shapetype="t"/>
                <v:textbox inset="2.85pt,2.85pt,2.85pt,2.85pt">
                  <w:txbxContent>
                    <w:p w14:paraId="0A1B143F" w14:textId="77777777" w:rsidR="00A90DD4" w:rsidRPr="000B5CDF" w:rsidRDefault="00A90DD4" w:rsidP="00047FC1">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4BE478C5" w14:textId="77777777" w:rsidR="00A90DD4" w:rsidRDefault="00A90DD4" w:rsidP="00047FC1">
                      <w:pPr>
                        <w:pStyle w:val="Footer"/>
                        <w:widowControl w:val="0"/>
                        <w:jc w:val="center"/>
                        <w:rPr>
                          <w:rFonts w:ascii="Bookman Old Style" w:hAnsi="Bookman Old Style"/>
                          <w:b/>
                        </w:rPr>
                      </w:pPr>
                      <w:r>
                        <w:rPr>
                          <w:rFonts w:ascii="Bookman Old Style" w:hAnsi="Bookman Old Style"/>
                          <w:b/>
                        </w:rPr>
                        <w:t xml:space="preserve">   </w:t>
                      </w:r>
                    </w:p>
                    <w:p w14:paraId="16FA0D23" w14:textId="77777777" w:rsidR="00A90DD4" w:rsidRPr="00BE6A38" w:rsidRDefault="00A90DD4" w:rsidP="00047FC1">
                      <w:pPr>
                        <w:jc w:val="right"/>
                        <w:rPr>
                          <w:rFonts w:ascii="Cambria" w:hAnsi="Cambria" w:cstheme="minorHAnsi"/>
                          <w:b/>
                          <w:color w:val="FFFFFF"/>
                          <w:w w:val="98"/>
                          <w:kern w:val="16"/>
                        </w:rPr>
                      </w:pPr>
                    </w:p>
                    <w:p w14:paraId="11D6BCF4" w14:textId="77777777" w:rsidR="00A90DD4" w:rsidRDefault="00A90DD4" w:rsidP="00047FC1">
                      <w:pPr>
                        <w:pStyle w:val="Footer"/>
                        <w:widowControl w:val="0"/>
                        <w:jc w:val="center"/>
                        <w:rPr>
                          <w:rFonts w:ascii="Bookman Old Style" w:hAnsi="Bookman Old Style"/>
                          <w:sz w:val="16"/>
                          <w:szCs w:val="16"/>
                        </w:rPr>
                      </w:pPr>
                    </w:p>
                    <w:p w14:paraId="761B89D2" w14:textId="77777777" w:rsidR="00A90DD4" w:rsidRDefault="00A90DD4" w:rsidP="00047FC1">
                      <w:pPr>
                        <w:pStyle w:val="Footer"/>
                        <w:widowControl w:val="0"/>
                        <w:jc w:val="center"/>
                        <w:rPr>
                          <w:rFonts w:ascii="Bookman Old Style" w:hAnsi="Bookman Old Style"/>
                          <w:sz w:val="16"/>
                          <w:szCs w:val="16"/>
                        </w:rPr>
                      </w:pPr>
                    </w:p>
                    <w:p w14:paraId="19832B70" w14:textId="77777777" w:rsidR="00A90DD4" w:rsidRDefault="00A90DD4" w:rsidP="00047FC1">
                      <w:pPr>
                        <w:pStyle w:val="Footer"/>
                        <w:widowControl w:val="0"/>
                        <w:jc w:val="center"/>
                        <w:rPr>
                          <w:rFonts w:ascii="Bookman Old Style" w:hAnsi="Bookman Old Style"/>
                          <w:sz w:val="16"/>
                          <w:szCs w:val="16"/>
                        </w:rPr>
                      </w:pPr>
                    </w:p>
                    <w:p w14:paraId="58261BC3" w14:textId="77777777" w:rsidR="00A90DD4" w:rsidRPr="0004352A" w:rsidRDefault="00A90DD4" w:rsidP="00047FC1">
                      <w:pPr>
                        <w:pStyle w:val="Footer"/>
                        <w:widowControl w:val="0"/>
                        <w:jc w:val="center"/>
                        <w:rPr>
                          <w:rFonts w:ascii="Bookman Old Style" w:hAnsi="Bookman Old Style"/>
                          <w:sz w:val="16"/>
                          <w:szCs w:val="16"/>
                        </w:rPr>
                      </w:pPr>
                    </w:p>
                  </w:txbxContent>
                </v:textbox>
              </v:shape>
            </w:pict>
          </mc:Fallback>
        </mc:AlternateContent>
      </w:r>
      <w:r w:rsidRPr="009D754C">
        <w:rPr>
          <w:rFonts w:eastAsia="Calibri" w:cstheme="minorHAnsi"/>
          <w:lang w:val="en-GB"/>
        </w:rPr>
        <w:t xml:space="preserve">Mayor Alvin Foster, Town of Yanceyville </w:t>
      </w:r>
    </w:p>
    <w:p w14:paraId="4F6E7838" w14:textId="32665CB8" w:rsidR="00047FC1" w:rsidRPr="009D754C" w:rsidRDefault="00047FC1" w:rsidP="00047FC1">
      <w:pPr>
        <w:spacing w:after="200"/>
        <w:ind w:left="1440"/>
        <w:contextualSpacing/>
        <w:rPr>
          <w:rFonts w:eastAsia="Calibri" w:cstheme="minorHAnsi"/>
          <w:lang w:val="en-GB"/>
        </w:rPr>
      </w:pPr>
      <w:bookmarkStart w:id="0" w:name="_Hlk74818165"/>
      <w:r w:rsidRPr="009D754C">
        <w:rPr>
          <w:rFonts w:eastAsia="Calibri" w:cstheme="minorHAnsi"/>
          <w:lang w:val="en-GB"/>
        </w:rPr>
        <w:t xml:space="preserve">Chairman </w:t>
      </w:r>
      <w:bookmarkStart w:id="1" w:name="_Hlk74818134"/>
      <w:r w:rsidRPr="009D754C">
        <w:rPr>
          <w:rFonts w:eastAsia="Calibri" w:cstheme="minorHAnsi"/>
          <w:lang w:val="en-GB"/>
        </w:rPr>
        <w:t>Darrell Frye</w:t>
      </w:r>
      <w:bookmarkEnd w:id="0"/>
      <w:r w:rsidRPr="009D754C">
        <w:rPr>
          <w:rFonts w:eastAsia="Calibri" w:cstheme="minorHAnsi"/>
          <w:lang w:val="en-GB"/>
        </w:rPr>
        <w:t>, Randolph County</w:t>
      </w:r>
      <w:bookmarkEnd w:id="1"/>
    </w:p>
    <w:p w14:paraId="0957671B" w14:textId="189C0952" w:rsidR="00B57030" w:rsidRPr="009D754C" w:rsidRDefault="00B57030" w:rsidP="00B57030">
      <w:pPr>
        <w:spacing w:after="200"/>
        <w:ind w:left="1440"/>
        <w:contextualSpacing/>
        <w:rPr>
          <w:rFonts w:eastAsia="Calibri" w:cstheme="minorHAnsi"/>
          <w:lang w:val="en-GB"/>
        </w:rPr>
      </w:pPr>
      <w:r w:rsidRPr="009D754C">
        <w:rPr>
          <w:rFonts w:eastAsia="Calibri" w:cstheme="minorHAnsi"/>
          <w:lang w:val="en-GB"/>
        </w:rPr>
        <w:t xml:space="preserve">Councilman Victor Jones, City of High Point </w:t>
      </w:r>
      <w:r w:rsidR="009D754C">
        <w:rPr>
          <w:rFonts w:eastAsia="Calibri" w:cstheme="minorHAnsi"/>
          <w:lang w:val="en-GB"/>
        </w:rPr>
        <w:t>(Z)</w:t>
      </w:r>
    </w:p>
    <w:p w14:paraId="677C2F76" w14:textId="77777777" w:rsidR="00B57030" w:rsidRPr="009D754C" w:rsidRDefault="00B57030" w:rsidP="00B57030">
      <w:pPr>
        <w:spacing w:after="200"/>
        <w:ind w:left="1440"/>
        <w:contextualSpacing/>
        <w:rPr>
          <w:rFonts w:eastAsia="Calibri" w:cstheme="minorHAnsi"/>
          <w:lang w:val="en-GB"/>
        </w:rPr>
      </w:pPr>
      <w:r w:rsidRPr="009D754C">
        <w:rPr>
          <w:rFonts w:eastAsia="Calibri" w:cstheme="minorHAnsi"/>
          <w:lang w:val="en-GB"/>
        </w:rPr>
        <w:t xml:space="preserve">Council Member Dwight Lake, Town of Mayodan </w:t>
      </w:r>
    </w:p>
    <w:p w14:paraId="517C3AE2" w14:textId="7FF46551" w:rsidR="004F0A09" w:rsidRDefault="004F0A09" w:rsidP="00047FC1">
      <w:pPr>
        <w:spacing w:after="200"/>
        <w:ind w:left="1440"/>
        <w:contextualSpacing/>
        <w:rPr>
          <w:rFonts w:eastAsia="Calibri" w:cstheme="minorHAnsi"/>
          <w:lang w:val="en-GB"/>
        </w:rPr>
      </w:pPr>
      <w:r w:rsidRPr="009D754C">
        <w:rPr>
          <w:rFonts w:eastAsia="Calibri" w:cstheme="minorHAnsi"/>
          <w:lang w:val="en-GB"/>
        </w:rPr>
        <w:t>Chairman Fred McClure, Davidson County</w:t>
      </w:r>
    </w:p>
    <w:p w14:paraId="5DDFD30E" w14:textId="76F71DD6" w:rsidR="009D754C" w:rsidRPr="009D754C" w:rsidRDefault="009D754C" w:rsidP="00047FC1">
      <w:pPr>
        <w:spacing w:after="200"/>
        <w:ind w:left="1440"/>
        <w:contextualSpacing/>
        <w:rPr>
          <w:rFonts w:eastAsia="Calibri" w:cstheme="minorHAnsi"/>
          <w:lang w:val="en-GB"/>
        </w:rPr>
      </w:pPr>
      <w:r w:rsidRPr="009D754C">
        <w:rPr>
          <w:rFonts w:eastAsia="Calibri" w:cstheme="minorHAnsi"/>
          <w:lang w:val="en-GB"/>
        </w:rPr>
        <w:t>Commissioner Tonya McDaniel, Forsyth Co</w:t>
      </w:r>
      <w:r>
        <w:rPr>
          <w:rFonts w:eastAsia="Calibri" w:cstheme="minorHAnsi"/>
          <w:lang w:val="en-GB"/>
        </w:rPr>
        <w:t>unty (Z)</w:t>
      </w:r>
    </w:p>
    <w:p w14:paraId="56EBBBD1" w14:textId="180E75DB" w:rsidR="00047FC1" w:rsidRPr="009D0646" w:rsidRDefault="00047FC1" w:rsidP="00047FC1">
      <w:pPr>
        <w:spacing w:after="200"/>
        <w:ind w:left="1440"/>
        <w:contextualSpacing/>
        <w:rPr>
          <w:rFonts w:eastAsia="Calibri" w:cstheme="minorHAnsi"/>
          <w:lang w:val="en-GB"/>
        </w:rPr>
      </w:pPr>
      <w:r w:rsidRPr="009D0646">
        <w:rPr>
          <w:rFonts w:eastAsia="Calibri" w:cstheme="minorHAnsi"/>
          <w:lang w:val="en-GB"/>
        </w:rPr>
        <w:t>Commissioner Rick Morris, Stokes County</w:t>
      </w:r>
    </w:p>
    <w:p w14:paraId="5F4A2AA4" w14:textId="77777777" w:rsidR="003E1D1B" w:rsidRPr="009D0646" w:rsidRDefault="003E1D1B" w:rsidP="003E1D1B">
      <w:pPr>
        <w:spacing w:after="200"/>
        <w:ind w:left="1440"/>
        <w:contextualSpacing/>
        <w:rPr>
          <w:rFonts w:eastAsia="Calibri" w:cstheme="minorHAnsi"/>
          <w:lang w:val="en-GB"/>
        </w:rPr>
      </w:pPr>
      <w:r w:rsidRPr="009D0646">
        <w:rPr>
          <w:rFonts w:eastAsia="Calibri" w:cstheme="minorHAnsi"/>
          <w:lang w:val="en-GB"/>
        </w:rPr>
        <w:t>Commissioner Mark Richardson, Rockingham County</w:t>
      </w:r>
    </w:p>
    <w:p w14:paraId="5D50E472" w14:textId="30B2CFA2" w:rsidR="008C478D" w:rsidRPr="009D0646" w:rsidRDefault="008C478D" w:rsidP="00047FC1">
      <w:pPr>
        <w:spacing w:after="200"/>
        <w:ind w:left="1440"/>
        <w:contextualSpacing/>
        <w:rPr>
          <w:rFonts w:eastAsia="Calibri" w:cstheme="minorHAnsi"/>
          <w:lang w:val="en-GB"/>
        </w:rPr>
      </w:pPr>
      <w:r w:rsidRPr="009D0646">
        <w:rPr>
          <w:rFonts w:eastAsia="Calibri" w:cstheme="minorHAnsi"/>
          <w:lang w:val="en-GB"/>
        </w:rPr>
        <w:t xml:space="preserve">Commissioner Pamela Thompson, Alamance County </w:t>
      </w:r>
    </w:p>
    <w:p w14:paraId="2C3AA7D9" w14:textId="05E7B90A" w:rsidR="008C478D" w:rsidRPr="009D0646" w:rsidRDefault="008C478D" w:rsidP="008C478D">
      <w:pPr>
        <w:spacing w:after="200"/>
        <w:ind w:left="1440"/>
        <w:contextualSpacing/>
        <w:rPr>
          <w:rFonts w:eastAsia="Calibri" w:cstheme="minorHAnsi"/>
          <w:lang w:val="en-GB"/>
        </w:rPr>
      </w:pPr>
      <w:r w:rsidRPr="009D0646">
        <w:rPr>
          <w:rFonts w:eastAsia="Calibri" w:cstheme="minorHAnsi"/>
          <w:lang w:val="en-GB"/>
        </w:rPr>
        <w:t>Commissioner Van Tucker, Surry County</w:t>
      </w:r>
      <w:r w:rsidR="002E7EC8" w:rsidRPr="009D0646">
        <w:rPr>
          <w:rFonts w:eastAsia="Calibri" w:cstheme="minorHAnsi"/>
          <w:lang w:val="en-GB"/>
        </w:rPr>
        <w:t xml:space="preserve"> (Z)</w:t>
      </w:r>
    </w:p>
    <w:p w14:paraId="5263F287" w14:textId="2E5ED837" w:rsidR="00EA7C14" w:rsidRPr="00EA7C14" w:rsidRDefault="00EA7C14" w:rsidP="00EA7C14">
      <w:pPr>
        <w:spacing w:after="200"/>
        <w:ind w:left="1440"/>
        <w:contextualSpacing/>
        <w:rPr>
          <w:rFonts w:eastAsia="Calibri" w:cstheme="minorHAnsi"/>
          <w:lang w:val="en-GB"/>
        </w:rPr>
      </w:pPr>
      <w:r w:rsidRPr="009D0646">
        <w:rPr>
          <w:rFonts w:eastAsia="Calibri" w:cstheme="minorHAnsi"/>
          <w:lang w:val="en-GB"/>
        </w:rPr>
        <w:t>Commissioner Marie Wood, City of Mount Airy</w:t>
      </w:r>
    </w:p>
    <w:p w14:paraId="5C9F89D0" w14:textId="147F895B" w:rsidR="00047FC1" w:rsidRPr="00060AF5" w:rsidRDefault="00214058" w:rsidP="00047FC1">
      <w:pPr>
        <w:spacing w:after="200"/>
        <w:ind w:left="1440"/>
        <w:contextualSpacing/>
        <w:rPr>
          <w:rFonts w:eastAsia="Calibri" w:cstheme="minorHAnsi"/>
          <w:i/>
          <w:lang w:val="en-GB"/>
        </w:rPr>
      </w:pPr>
      <w:r w:rsidRPr="00060AF5">
        <w:rPr>
          <w:rFonts w:eastAsia="Calibri" w:cstheme="minorHAnsi"/>
          <w:i/>
          <w:lang w:val="en-GB"/>
        </w:rPr>
        <w:t xml:space="preserve"> </w:t>
      </w:r>
      <w:r w:rsidR="00047FC1" w:rsidRPr="00060AF5">
        <w:rPr>
          <w:rFonts w:eastAsia="Calibri" w:cstheme="minorHAnsi"/>
          <w:i/>
          <w:lang w:val="en-GB"/>
        </w:rPr>
        <w:t>(Z) Denotes attendance via ZOOM</w:t>
      </w:r>
    </w:p>
    <w:p w14:paraId="6F76D5F0" w14:textId="77777777" w:rsidR="00047FC1" w:rsidRPr="00656248" w:rsidRDefault="00047FC1" w:rsidP="00047FC1">
      <w:pPr>
        <w:spacing w:after="200"/>
        <w:ind w:left="1440"/>
        <w:contextualSpacing/>
        <w:rPr>
          <w:rFonts w:eastAsia="Calibri" w:cstheme="minorHAnsi"/>
          <w:i/>
          <w:highlight w:val="yellow"/>
          <w:lang w:val="en-GB"/>
        </w:rPr>
      </w:pPr>
    </w:p>
    <w:p w14:paraId="3CFA4F2D" w14:textId="1579D73E" w:rsidR="00047FC1" w:rsidRPr="00060AF5" w:rsidRDefault="00047FC1" w:rsidP="00047FC1">
      <w:pPr>
        <w:spacing w:after="200"/>
        <w:ind w:left="1440"/>
        <w:contextualSpacing/>
        <w:rPr>
          <w:rFonts w:eastAsia="Calibri" w:cstheme="minorHAnsi"/>
          <w:b/>
          <w:lang w:val="en-GB"/>
        </w:rPr>
      </w:pPr>
      <w:r w:rsidRPr="00060AF5">
        <w:rPr>
          <w:rFonts w:eastAsia="Calibri" w:cstheme="minorHAnsi"/>
          <w:b/>
          <w:lang w:val="en-GB"/>
        </w:rPr>
        <w:t>Members Absent:</w:t>
      </w:r>
    </w:p>
    <w:p w14:paraId="55751D71" w14:textId="4DDB4EED" w:rsidR="009D754C" w:rsidRDefault="009D754C" w:rsidP="009D754C">
      <w:pPr>
        <w:spacing w:after="200"/>
        <w:ind w:left="1440"/>
        <w:contextualSpacing/>
        <w:rPr>
          <w:rFonts w:eastAsia="Calibri" w:cstheme="minorHAnsi"/>
          <w:lang w:val="en-GB"/>
        </w:rPr>
      </w:pPr>
      <w:bookmarkStart w:id="2" w:name="_Hlk82087191"/>
      <w:r w:rsidRPr="009D754C">
        <w:rPr>
          <w:rFonts w:eastAsia="Calibri" w:cstheme="minorHAnsi"/>
          <w:lang w:val="en-GB"/>
        </w:rPr>
        <w:t>Council Member Jim Butler, City of Burlington</w:t>
      </w:r>
    </w:p>
    <w:p w14:paraId="645CBB1C" w14:textId="1F32A02B" w:rsidR="009D754C" w:rsidRDefault="009D754C" w:rsidP="009D754C">
      <w:pPr>
        <w:spacing w:after="200"/>
        <w:ind w:left="1440"/>
        <w:contextualSpacing/>
        <w:rPr>
          <w:rFonts w:eastAsia="Calibri" w:cstheme="minorHAnsi"/>
          <w:lang w:val="en-GB"/>
        </w:rPr>
      </w:pPr>
      <w:r w:rsidRPr="009D754C">
        <w:rPr>
          <w:rFonts w:eastAsia="Calibri" w:cstheme="minorHAnsi"/>
          <w:lang w:val="en-GB"/>
        </w:rPr>
        <w:t xml:space="preserve">Council Member Jane Cole, City of King </w:t>
      </w:r>
    </w:p>
    <w:p w14:paraId="74376251" w14:textId="146653EA" w:rsidR="009D754C" w:rsidRDefault="009D754C" w:rsidP="009D754C">
      <w:pPr>
        <w:spacing w:after="200"/>
        <w:ind w:left="1440"/>
        <w:contextualSpacing/>
        <w:rPr>
          <w:rFonts w:eastAsia="Calibri" w:cstheme="minorHAnsi"/>
          <w:lang w:val="en-GB"/>
        </w:rPr>
      </w:pPr>
      <w:bookmarkStart w:id="3" w:name="_Hlk71202420"/>
      <w:r w:rsidRPr="009D754C">
        <w:rPr>
          <w:rFonts w:eastAsia="Calibri" w:cstheme="minorHAnsi"/>
          <w:lang w:val="en-GB"/>
        </w:rPr>
        <w:t>Commissioner Carly Cooke</w:t>
      </w:r>
      <w:bookmarkEnd w:id="3"/>
      <w:r w:rsidRPr="009D754C">
        <w:rPr>
          <w:rFonts w:eastAsia="Calibri" w:cstheme="minorHAnsi"/>
          <w:lang w:val="en-GB"/>
        </w:rPr>
        <w:t>, Guilford County</w:t>
      </w:r>
    </w:p>
    <w:p w14:paraId="48BD0691" w14:textId="6CE6E67C" w:rsidR="009D754C" w:rsidRDefault="009D754C" w:rsidP="009D754C">
      <w:pPr>
        <w:spacing w:after="200"/>
        <w:ind w:left="1440"/>
        <w:contextualSpacing/>
        <w:rPr>
          <w:rFonts w:eastAsia="Calibri" w:cstheme="minorHAnsi"/>
          <w:lang w:val="en-GB"/>
        </w:rPr>
      </w:pPr>
      <w:r w:rsidRPr="009D754C">
        <w:rPr>
          <w:rFonts w:eastAsia="Calibri" w:cstheme="minorHAnsi"/>
          <w:lang w:val="en-GB"/>
        </w:rPr>
        <w:t xml:space="preserve">Chairman Mark Jones, Davie County </w:t>
      </w:r>
    </w:p>
    <w:p w14:paraId="71252079" w14:textId="385BC4DC" w:rsidR="009D754C" w:rsidRPr="009D754C" w:rsidRDefault="009D754C" w:rsidP="009D754C">
      <w:pPr>
        <w:spacing w:after="200"/>
        <w:ind w:left="1440"/>
        <w:contextualSpacing/>
        <w:rPr>
          <w:rFonts w:eastAsia="Calibri" w:cstheme="minorHAnsi"/>
          <w:lang w:val="en-GB"/>
        </w:rPr>
      </w:pPr>
      <w:r w:rsidRPr="009D754C">
        <w:rPr>
          <w:rFonts w:eastAsia="Calibri" w:cstheme="minorHAnsi"/>
          <w:lang w:val="en-GB"/>
        </w:rPr>
        <w:t>Councilman John Larson, City of Winston-Salem</w:t>
      </w:r>
    </w:p>
    <w:p w14:paraId="39619CEA" w14:textId="32D52217" w:rsidR="00B95312" w:rsidRDefault="00B95312" w:rsidP="00B95312">
      <w:pPr>
        <w:spacing w:after="200"/>
        <w:ind w:left="1440"/>
        <w:contextualSpacing/>
        <w:rPr>
          <w:rFonts w:eastAsia="Calibri" w:cstheme="minorHAnsi"/>
          <w:lang w:val="en-GB"/>
        </w:rPr>
      </w:pPr>
      <w:r w:rsidRPr="009D754C">
        <w:rPr>
          <w:rFonts w:eastAsia="Calibri" w:cstheme="minorHAnsi"/>
          <w:lang w:val="en-GB"/>
        </w:rPr>
        <w:t xml:space="preserve">Councilwoman Peggy Leight, </w:t>
      </w:r>
      <w:bookmarkEnd w:id="2"/>
      <w:r w:rsidRPr="009D754C">
        <w:rPr>
          <w:rFonts w:eastAsia="Calibri" w:cstheme="minorHAnsi"/>
          <w:lang w:val="en-GB"/>
        </w:rPr>
        <w:t>Town of Walkertown</w:t>
      </w:r>
    </w:p>
    <w:p w14:paraId="7CED5B81" w14:textId="18BF858C" w:rsidR="009D0646" w:rsidRDefault="00851BDF" w:rsidP="009D0646">
      <w:pPr>
        <w:spacing w:after="200"/>
        <w:ind w:left="1440"/>
        <w:contextualSpacing/>
        <w:rPr>
          <w:rFonts w:eastAsia="Calibri" w:cstheme="minorHAnsi"/>
          <w:lang w:val="en-GB"/>
        </w:rPr>
      </w:pPr>
      <w:r>
        <w:rPr>
          <w:rFonts w:eastAsia="Calibri" w:cstheme="minorHAnsi"/>
          <w:lang w:val="en-GB"/>
        </w:rPr>
        <w:t xml:space="preserve"> </w:t>
      </w:r>
      <w:r w:rsidR="009D0646" w:rsidRPr="009D0646">
        <w:rPr>
          <w:rFonts w:eastAsia="Calibri" w:cstheme="minorHAnsi"/>
          <w:lang w:val="en-GB"/>
        </w:rPr>
        <w:t>Mayor Howard Morgan, Town of Sedalia</w:t>
      </w:r>
    </w:p>
    <w:p w14:paraId="04026032" w14:textId="3ACCA9A0" w:rsidR="009D0646" w:rsidRDefault="009D0646" w:rsidP="009D0646">
      <w:pPr>
        <w:spacing w:after="200"/>
        <w:ind w:left="1440"/>
        <w:contextualSpacing/>
        <w:rPr>
          <w:rFonts w:eastAsia="Calibri" w:cstheme="minorHAnsi"/>
          <w:lang w:val="en-GB"/>
        </w:rPr>
      </w:pPr>
      <w:r w:rsidRPr="009D0646">
        <w:rPr>
          <w:rFonts w:eastAsia="Calibri" w:cstheme="minorHAnsi"/>
          <w:lang w:val="en-GB"/>
        </w:rPr>
        <w:t>Commissioner Damon Prince, Town of Troy</w:t>
      </w:r>
    </w:p>
    <w:p w14:paraId="589428A1" w14:textId="1A419CB0" w:rsidR="009D0646" w:rsidRDefault="009D0646" w:rsidP="009D0646">
      <w:pPr>
        <w:spacing w:after="200"/>
        <w:ind w:left="1440"/>
        <w:contextualSpacing/>
        <w:rPr>
          <w:rFonts w:eastAsia="Calibri" w:cstheme="minorHAnsi"/>
          <w:lang w:val="en-GB"/>
        </w:rPr>
      </w:pPr>
      <w:r w:rsidRPr="009D0646">
        <w:rPr>
          <w:rFonts w:eastAsia="Calibri" w:cstheme="minorHAnsi"/>
          <w:lang w:val="en-GB"/>
        </w:rPr>
        <w:t>Commissioner John Shaw, Montgomery County</w:t>
      </w:r>
    </w:p>
    <w:p w14:paraId="37C18C51" w14:textId="77777777" w:rsidR="009D0646" w:rsidRPr="009D0646" w:rsidRDefault="009D0646" w:rsidP="009D0646">
      <w:pPr>
        <w:spacing w:after="200"/>
        <w:ind w:left="1440"/>
        <w:contextualSpacing/>
        <w:rPr>
          <w:rFonts w:eastAsia="Calibri" w:cstheme="minorHAnsi"/>
          <w:lang w:val="en-GB"/>
        </w:rPr>
      </w:pPr>
      <w:r w:rsidRPr="009D0646">
        <w:rPr>
          <w:rFonts w:eastAsia="Calibri" w:cstheme="minorHAnsi"/>
          <w:lang w:val="en-GB"/>
        </w:rPr>
        <w:t>Mayor Larry Ward, Town of Denton</w:t>
      </w:r>
    </w:p>
    <w:p w14:paraId="6224C5B5" w14:textId="77777777" w:rsidR="009D0646" w:rsidRPr="009D0646" w:rsidRDefault="009D0646" w:rsidP="009D0646">
      <w:pPr>
        <w:spacing w:after="200"/>
        <w:ind w:left="1440"/>
        <w:contextualSpacing/>
        <w:rPr>
          <w:rFonts w:eastAsia="Calibri" w:cstheme="minorHAnsi"/>
          <w:lang w:val="en-GB"/>
        </w:rPr>
      </w:pPr>
    </w:p>
    <w:p w14:paraId="0672FA8B" w14:textId="77777777" w:rsidR="009D0646" w:rsidRPr="009D0646" w:rsidRDefault="009D0646" w:rsidP="009D0646">
      <w:pPr>
        <w:spacing w:after="200"/>
        <w:ind w:left="1440"/>
        <w:contextualSpacing/>
        <w:rPr>
          <w:rFonts w:eastAsia="Calibri" w:cstheme="minorHAnsi"/>
          <w:lang w:val="en-GB"/>
        </w:rPr>
      </w:pPr>
    </w:p>
    <w:p w14:paraId="7593E5F2" w14:textId="03877DDE" w:rsidR="00851BDF" w:rsidRPr="00B95312" w:rsidRDefault="00851BDF" w:rsidP="00B95312">
      <w:pPr>
        <w:spacing w:after="200"/>
        <w:ind w:left="1440"/>
        <w:contextualSpacing/>
        <w:rPr>
          <w:rFonts w:eastAsia="Calibri" w:cstheme="minorHAnsi"/>
          <w:lang w:val="en-GB"/>
        </w:rPr>
      </w:pPr>
    </w:p>
    <w:p w14:paraId="1B23833B" w14:textId="6683520A" w:rsidR="00145F47" w:rsidRPr="009C10F2" w:rsidRDefault="00E9171E" w:rsidP="00B721F8">
      <w:pPr>
        <w:spacing w:line="240" w:lineRule="auto"/>
        <w:rPr>
          <w:rFonts w:cstheme="minorHAnsi"/>
          <w:b/>
          <w:bCs/>
        </w:rPr>
      </w:pPr>
      <w:r w:rsidRPr="009C10F2">
        <w:rPr>
          <w:rFonts w:cstheme="minorHAnsi"/>
          <w:b/>
          <w:bCs/>
        </w:rPr>
        <w:lastRenderedPageBreak/>
        <w:t xml:space="preserve">Chairman </w:t>
      </w:r>
      <w:r w:rsidR="00E82941" w:rsidRPr="009C10F2">
        <w:rPr>
          <w:rFonts w:cstheme="minorHAnsi"/>
          <w:b/>
          <w:bCs/>
        </w:rPr>
        <w:t>Alvin Foster</w:t>
      </w:r>
      <w:r w:rsidR="00327221" w:rsidRPr="009C10F2">
        <w:rPr>
          <w:rFonts w:cstheme="minorHAnsi"/>
          <w:b/>
          <w:bCs/>
        </w:rPr>
        <w:t xml:space="preserve"> welcomed the PTRC Executive Committee and called the </w:t>
      </w:r>
      <w:r w:rsidR="00543F48" w:rsidRPr="009C10F2">
        <w:rPr>
          <w:rFonts w:cstheme="minorHAnsi"/>
          <w:b/>
          <w:bCs/>
        </w:rPr>
        <w:t xml:space="preserve">meeting to order at </w:t>
      </w:r>
      <w:r w:rsidR="00B01304" w:rsidRPr="009C10F2">
        <w:rPr>
          <w:rFonts w:cstheme="minorHAnsi"/>
          <w:b/>
          <w:bCs/>
        </w:rPr>
        <w:t>12:</w:t>
      </w:r>
      <w:r w:rsidR="005102D8" w:rsidRPr="009C10F2">
        <w:rPr>
          <w:rFonts w:cstheme="minorHAnsi"/>
          <w:b/>
          <w:bCs/>
        </w:rPr>
        <w:t>0</w:t>
      </w:r>
      <w:r w:rsidR="00011B7F" w:rsidRPr="009C10F2">
        <w:rPr>
          <w:rFonts w:cstheme="minorHAnsi"/>
          <w:b/>
          <w:bCs/>
        </w:rPr>
        <w:t>0</w:t>
      </w:r>
      <w:r w:rsidR="00067355" w:rsidRPr="009C10F2">
        <w:rPr>
          <w:rFonts w:cstheme="minorHAnsi"/>
          <w:b/>
          <w:bCs/>
        </w:rPr>
        <w:t xml:space="preserve"> </w:t>
      </w:r>
      <w:r w:rsidR="00E05AD6" w:rsidRPr="009C10F2">
        <w:rPr>
          <w:rFonts w:cstheme="minorHAnsi"/>
          <w:b/>
          <w:bCs/>
        </w:rPr>
        <w:t xml:space="preserve">p.m. </w:t>
      </w:r>
      <w:r w:rsidR="007A01CD" w:rsidRPr="009C10F2">
        <w:rPr>
          <w:rFonts w:cstheme="minorHAnsi"/>
          <w:b/>
          <w:bCs/>
        </w:rPr>
        <w:t xml:space="preserve">The meeting was held virtually </w:t>
      </w:r>
      <w:r w:rsidR="00EF51B4" w:rsidRPr="009C10F2">
        <w:rPr>
          <w:rFonts w:cstheme="minorHAnsi"/>
          <w:b/>
          <w:bCs/>
        </w:rPr>
        <w:t>via Zoom in addition to</w:t>
      </w:r>
      <w:r w:rsidR="007A01CD" w:rsidRPr="009C10F2">
        <w:rPr>
          <w:rFonts w:cstheme="minorHAnsi"/>
          <w:b/>
          <w:bCs/>
        </w:rPr>
        <w:t xml:space="preserve"> in person attendance. </w:t>
      </w:r>
      <w:r w:rsidR="00F9384A" w:rsidRPr="009C10F2">
        <w:rPr>
          <w:rFonts w:cstheme="minorHAnsi"/>
          <w:b/>
          <w:bCs/>
        </w:rPr>
        <w:t xml:space="preserve">Chairman Foster encouraged </w:t>
      </w:r>
      <w:r w:rsidR="002E4023" w:rsidRPr="009C10F2">
        <w:rPr>
          <w:rFonts w:cstheme="minorHAnsi"/>
          <w:b/>
          <w:bCs/>
        </w:rPr>
        <w:t>Mr. F</w:t>
      </w:r>
      <w:r w:rsidR="00E82941" w:rsidRPr="009C10F2">
        <w:rPr>
          <w:rFonts w:cstheme="minorHAnsi"/>
          <w:b/>
          <w:bCs/>
        </w:rPr>
        <w:t xml:space="preserve">oster </w:t>
      </w:r>
      <w:r w:rsidR="006A5350" w:rsidRPr="009C10F2">
        <w:rPr>
          <w:rFonts w:cstheme="minorHAnsi"/>
          <w:b/>
          <w:bCs/>
        </w:rPr>
        <w:t>requested a moment of silence and then led the Executive Committee in the Pledge of Allegiance.</w:t>
      </w:r>
      <w:r w:rsidR="00BB7052" w:rsidRPr="009C10F2">
        <w:rPr>
          <w:rFonts w:cstheme="minorHAnsi"/>
          <w:b/>
          <w:bCs/>
        </w:rPr>
        <w:t xml:space="preserve"> </w:t>
      </w:r>
    </w:p>
    <w:p w14:paraId="21689B73" w14:textId="001CB356" w:rsidR="00E61313" w:rsidRPr="009C10F2" w:rsidRDefault="00EF6C96" w:rsidP="00C5041F">
      <w:pPr>
        <w:pStyle w:val="ListParagraph"/>
        <w:numPr>
          <w:ilvl w:val="0"/>
          <w:numId w:val="1"/>
        </w:numPr>
        <w:spacing w:line="240" w:lineRule="auto"/>
        <w:rPr>
          <w:rFonts w:cstheme="minorHAnsi"/>
          <w:b/>
        </w:rPr>
      </w:pPr>
      <w:r w:rsidRPr="009C10F2">
        <w:rPr>
          <w:rFonts w:cstheme="minorHAnsi"/>
          <w:b/>
        </w:rPr>
        <w:t xml:space="preserve">Action Item: Request for approval </w:t>
      </w:r>
      <w:r w:rsidR="009B0A42" w:rsidRPr="009C10F2">
        <w:rPr>
          <w:rFonts w:cstheme="minorHAnsi"/>
          <w:b/>
        </w:rPr>
        <w:t>of the</w:t>
      </w:r>
      <w:r w:rsidR="00351D81" w:rsidRPr="009C10F2">
        <w:rPr>
          <w:rFonts w:cstheme="minorHAnsi"/>
          <w:b/>
        </w:rPr>
        <w:t xml:space="preserve"> </w:t>
      </w:r>
      <w:r w:rsidR="00E624A4" w:rsidRPr="009C10F2">
        <w:rPr>
          <w:rFonts w:cstheme="minorHAnsi"/>
          <w:b/>
        </w:rPr>
        <w:t>February 1</w:t>
      </w:r>
      <w:r w:rsidR="00497E48" w:rsidRPr="009C10F2">
        <w:rPr>
          <w:rFonts w:cstheme="minorHAnsi"/>
          <w:b/>
        </w:rPr>
        <w:t>, 202</w:t>
      </w:r>
      <w:r w:rsidR="00E624A4" w:rsidRPr="009C10F2">
        <w:rPr>
          <w:rFonts w:cstheme="minorHAnsi"/>
          <w:b/>
        </w:rPr>
        <w:t>3</w:t>
      </w:r>
      <w:r w:rsidRPr="009C10F2">
        <w:rPr>
          <w:rFonts w:cstheme="minorHAnsi"/>
          <w:b/>
        </w:rPr>
        <w:t xml:space="preserve"> PTRC Executive Committee minutes, </w:t>
      </w:r>
      <w:r w:rsidR="00784434" w:rsidRPr="009C10F2">
        <w:rPr>
          <w:rFonts w:cstheme="minorHAnsi"/>
          <w:b/>
        </w:rPr>
        <w:t xml:space="preserve">Mr. </w:t>
      </w:r>
      <w:r w:rsidR="00E82941" w:rsidRPr="009C10F2">
        <w:rPr>
          <w:rFonts w:cstheme="minorHAnsi"/>
          <w:b/>
        </w:rPr>
        <w:t>Alvin Foster</w:t>
      </w:r>
      <w:r w:rsidR="005A7353" w:rsidRPr="009C10F2">
        <w:rPr>
          <w:rFonts w:cstheme="minorHAnsi"/>
          <w:b/>
        </w:rPr>
        <w:t>,</w:t>
      </w:r>
      <w:r w:rsidR="00784434" w:rsidRPr="009C10F2">
        <w:rPr>
          <w:rFonts w:cstheme="minorHAnsi"/>
          <w:b/>
        </w:rPr>
        <w:t xml:space="preserve"> Chair</w:t>
      </w:r>
    </w:p>
    <w:p w14:paraId="60BEEE3C" w14:textId="77777777" w:rsidR="00C847BA" w:rsidRPr="009C10F2" w:rsidRDefault="00C847BA" w:rsidP="00B721F8">
      <w:pPr>
        <w:pStyle w:val="ListParagraph"/>
        <w:spacing w:after="200" w:line="240" w:lineRule="auto"/>
        <w:ind w:left="540"/>
        <w:rPr>
          <w:rFonts w:cstheme="minorHAnsi"/>
        </w:rPr>
      </w:pPr>
    </w:p>
    <w:p w14:paraId="17C656A1" w14:textId="74A92F65" w:rsidR="00DF1F9B" w:rsidRPr="009C10F2" w:rsidRDefault="00D91A45" w:rsidP="00C5041F">
      <w:pPr>
        <w:pStyle w:val="ListParagraph"/>
        <w:numPr>
          <w:ilvl w:val="0"/>
          <w:numId w:val="1"/>
        </w:numPr>
        <w:spacing w:after="200" w:line="240" w:lineRule="auto"/>
        <w:rPr>
          <w:rFonts w:eastAsia="Times New Roman" w:cstheme="minorHAnsi"/>
        </w:rPr>
      </w:pPr>
      <w:r w:rsidRPr="009C10F2">
        <w:rPr>
          <w:rFonts w:cstheme="minorHAnsi"/>
          <w:b/>
        </w:rPr>
        <w:t>Action Item:</w:t>
      </w:r>
      <w:r w:rsidR="005A7353" w:rsidRPr="009C10F2">
        <w:rPr>
          <w:rFonts w:cstheme="minorHAnsi"/>
          <w:b/>
        </w:rPr>
        <w:t xml:space="preserve"> </w:t>
      </w:r>
      <w:r w:rsidR="00DA2E6E" w:rsidRPr="009C10F2">
        <w:rPr>
          <w:rFonts w:cstheme="minorHAnsi"/>
          <w:b/>
        </w:rPr>
        <w:t xml:space="preserve">Request </w:t>
      </w:r>
      <w:r w:rsidR="00E624A4" w:rsidRPr="009C10F2">
        <w:rPr>
          <w:rFonts w:cstheme="minorHAnsi"/>
          <w:b/>
        </w:rPr>
        <w:t>to authorize receipt of $55,012.00 in county transfer support funds from the NC Commerce Division of Workforce Solutions</w:t>
      </w:r>
      <w:r w:rsidR="000712D2" w:rsidRPr="009C10F2">
        <w:rPr>
          <w:rFonts w:cstheme="minorHAnsi"/>
          <w:b/>
        </w:rPr>
        <w:t>, M</w:t>
      </w:r>
      <w:r w:rsidR="00E624A4" w:rsidRPr="009C10F2">
        <w:rPr>
          <w:rFonts w:cstheme="minorHAnsi"/>
          <w:b/>
        </w:rPr>
        <w:t>s</w:t>
      </w:r>
      <w:r w:rsidR="000712D2" w:rsidRPr="009C10F2">
        <w:rPr>
          <w:rFonts w:cstheme="minorHAnsi"/>
          <w:b/>
        </w:rPr>
        <w:t>.</w:t>
      </w:r>
      <w:r w:rsidR="00AF1098" w:rsidRPr="009C10F2">
        <w:rPr>
          <w:rFonts w:cstheme="minorHAnsi"/>
          <w:b/>
        </w:rPr>
        <w:t xml:space="preserve"> </w:t>
      </w:r>
      <w:r w:rsidR="00E624A4" w:rsidRPr="009C10F2">
        <w:rPr>
          <w:rFonts w:cstheme="minorHAnsi"/>
          <w:b/>
        </w:rPr>
        <w:t>Wendy Walker-Fox, Workforce and Economic Development Director</w:t>
      </w:r>
    </w:p>
    <w:p w14:paraId="7082894E" w14:textId="77777777" w:rsidR="00E624A4" w:rsidRPr="009C10F2" w:rsidRDefault="00E624A4" w:rsidP="00E624A4">
      <w:pPr>
        <w:pStyle w:val="ListParagraph"/>
        <w:numPr>
          <w:ilvl w:val="1"/>
          <w:numId w:val="1"/>
        </w:numPr>
        <w:spacing w:after="40" w:line="280" w:lineRule="exact"/>
        <w:rPr>
          <w:rFonts w:cs="Calibri"/>
          <w:iCs/>
        </w:rPr>
      </w:pPr>
      <w:r w:rsidRPr="009C10F2">
        <w:rPr>
          <w:rFonts w:cs="Calibri"/>
          <w:iCs/>
        </w:rPr>
        <w:t xml:space="preserve">In Support of Statewide workforce board realignment efforts, the North Carolina Department of Commerce Division of Workforce Solutions (DWS) is providing funding the amount of $55,012.00.  </w:t>
      </w:r>
    </w:p>
    <w:p w14:paraId="082CD448" w14:textId="77777777" w:rsidR="00E624A4" w:rsidRPr="009C10F2" w:rsidRDefault="00E624A4" w:rsidP="00E624A4">
      <w:pPr>
        <w:pStyle w:val="ListParagraph"/>
        <w:numPr>
          <w:ilvl w:val="1"/>
          <w:numId w:val="1"/>
        </w:numPr>
        <w:spacing w:after="40" w:line="280" w:lineRule="exact"/>
        <w:rPr>
          <w:rFonts w:cs="Calibri"/>
          <w:iCs/>
        </w:rPr>
      </w:pPr>
      <w:r w:rsidRPr="009C10F2">
        <w:rPr>
          <w:rFonts w:cs="Calibri"/>
          <w:iCs/>
        </w:rPr>
        <w:t xml:space="preserve">The funding will be used to assist staff with the operational, administrative, and logistical activities related to the transferring Alamance, Davidson, and Randolph Counties to the Piedmont Triad Regional Workforce Development Board local area.     </w:t>
      </w:r>
    </w:p>
    <w:p w14:paraId="2092C2C6" w14:textId="0A94FFFD" w:rsidR="00E624A4" w:rsidRPr="009C10F2" w:rsidRDefault="00E624A4" w:rsidP="00E624A4">
      <w:pPr>
        <w:pStyle w:val="ListParagraph"/>
        <w:numPr>
          <w:ilvl w:val="1"/>
          <w:numId w:val="1"/>
        </w:numPr>
        <w:spacing w:after="40" w:line="280" w:lineRule="exact"/>
        <w:rPr>
          <w:rFonts w:cs="Calibri"/>
          <w:iCs/>
        </w:rPr>
      </w:pPr>
      <w:r w:rsidRPr="009C10F2">
        <w:rPr>
          <w:rFonts w:cs="Calibri"/>
          <w:iCs/>
        </w:rPr>
        <w:t>As the transfer process continues to move forward this type of funding is needed to sustain operations and maintain continuity of service to employers and individuals. PTRC is appreciative of the Division’s support.</w:t>
      </w:r>
    </w:p>
    <w:p w14:paraId="339BEFD8" w14:textId="77777777" w:rsidR="00EA3A46" w:rsidRPr="009C10F2" w:rsidRDefault="00EA3A46" w:rsidP="00EA3A46">
      <w:pPr>
        <w:pStyle w:val="ListParagraph"/>
        <w:spacing w:after="200" w:line="240" w:lineRule="auto"/>
        <w:ind w:left="540"/>
        <w:rPr>
          <w:rFonts w:eastAsia="Times New Roman" w:cstheme="minorHAnsi"/>
        </w:rPr>
      </w:pPr>
    </w:p>
    <w:p w14:paraId="74F5B1E6" w14:textId="77777777" w:rsidR="00E624A4" w:rsidRPr="009C10F2" w:rsidRDefault="00DA49AA" w:rsidP="00E624A4">
      <w:pPr>
        <w:pStyle w:val="ListParagraph"/>
        <w:numPr>
          <w:ilvl w:val="0"/>
          <w:numId w:val="1"/>
        </w:numPr>
        <w:spacing w:after="200" w:line="240" w:lineRule="auto"/>
        <w:rPr>
          <w:rFonts w:eastAsia="Times New Roman" w:cstheme="minorHAnsi"/>
          <w:b/>
        </w:rPr>
      </w:pPr>
      <w:r w:rsidRPr="009C10F2">
        <w:rPr>
          <w:rFonts w:cstheme="minorHAnsi"/>
          <w:b/>
          <w:iCs/>
        </w:rPr>
        <w:t xml:space="preserve">Action Item: </w:t>
      </w:r>
      <w:r w:rsidR="008A19C7" w:rsidRPr="009C10F2">
        <w:rPr>
          <w:rFonts w:cstheme="minorHAnsi"/>
          <w:b/>
          <w:iCs/>
        </w:rPr>
        <w:t xml:space="preserve">Request </w:t>
      </w:r>
      <w:r w:rsidR="00E624A4" w:rsidRPr="009C10F2">
        <w:rPr>
          <w:rFonts w:cstheme="minorHAnsi"/>
          <w:b/>
          <w:iCs/>
        </w:rPr>
        <w:t xml:space="preserve">to authorize engagement in JFF’s Workforce Communities of Inquiry in the Deep South initiative and the receipt of technical assistance and $15,000 in support funds, </w:t>
      </w:r>
      <w:r w:rsidR="000712D2" w:rsidRPr="009C10F2">
        <w:rPr>
          <w:rFonts w:cstheme="minorHAnsi"/>
          <w:b/>
          <w:iCs/>
        </w:rPr>
        <w:t>M</w:t>
      </w:r>
      <w:r w:rsidR="00DA2E6E" w:rsidRPr="009C10F2">
        <w:rPr>
          <w:rFonts w:cstheme="minorHAnsi"/>
          <w:b/>
          <w:iCs/>
        </w:rPr>
        <w:t>s</w:t>
      </w:r>
      <w:r w:rsidR="000712D2" w:rsidRPr="009C10F2">
        <w:rPr>
          <w:rFonts w:cstheme="minorHAnsi"/>
          <w:b/>
          <w:iCs/>
        </w:rPr>
        <w:t xml:space="preserve">. </w:t>
      </w:r>
      <w:r w:rsidR="00DA2E6E" w:rsidRPr="009C10F2">
        <w:rPr>
          <w:rFonts w:cstheme="minorHAnsi"/>
          <w:b/>
          <w:iCs/>
        </w:rPr>
        <w:t>Wendy Walker-Fox, Workforce and Economic Development Director</w:t>
      </w:r>
    </w:p>
    <w:p w14:paraId="7E5EB335" w14:textId="77777777" w:rsidR="00E624A4" w:rsidRPr="009C10F2" w:rsidRDefault="00E624A4" w:rsidP="00E624A4">
      <w:pPr>
        <w:pStyle w:val="ListParagraph"/>
        <w:numPr>
          <w:ilvl w:val="1"/>
          <w:numId w:val="1"/>
        </w:numPr>
        <w:spacing w:after="200" w:line="240" w:lineRule="auto"/>
        <w:rPr>
          <w:rFonts w:eastAsia="Times New Roman" w:cstheme="minorHAnsi"/>
          <w:b/>
        </w:rPr>
      </w:pPr>
      <w:r w:rsidRPr="009C10F2">
        <w:rPr>
          <w:rFonts w:cs="Calibri"/>
          <w:iCs/>
        </w:rPr>
        <w:t xml:space="preserve">The Piedmont Triad Regional Workforce Development Board (PTRWDB) has been selected as one of 7 organizations for participation in an initiative that will research what’s needed to close the wealth gap and curtail occupational segregation for black learners and workers.  </w:t>
      </w:r>
    </w:p>
    <w:p w14:paraId="77D37566" w14:textId="77777777" w:rsidR="00E624A4" w:rsidRPr="009C10F2" w:rsidRDefault="00E624A4" w:rsidP="00E624A4">
      <w:pPr>
        <w:pStyle w:val="ListParagraph"/>
        <w:numPr>
          <w:ilvl w:val="1"/>
          <w:numId w:val="1"/>
        </w:numPr>
        <w:spacing w:after="200" w:line="240" w:lineRule="auto"/>
        <w:rPr>
          <w:rFonts w:eastAsia="Times New Roman" w:cstheme="minorHAnsi"/>
          <w:b/>
        </w:rPr>
      </w:pPr>
      <w:r w:rsidRPr="009C10F2">
        <w:rPr>
          <w:rFonts w:cs="Calibri"/>
          <w:iCs/>
        </w:rPr>
        <w:t xml:space="preserve">The Workforce Communities of Inquiry (WCI) in the Deep South is supported by funding from the Walmart Foundation and Jobs for the Future (JFF).  The initiative will work collaboratively with workforce organizations in communities across the Deep South to facilitate honest, intentional, and focused dialogue that explores service delivery, equity, and job-seeker outcomes within the context of race and diversity. It is the hope of JFF that, through this process, community conversations will surface potential solutions to addressing system-level challenges that promote or uphold inequitable practices, policies, and behaviors, specifically those that disproportionately impact the Black community.   </w:t>
      </w:r>
    </w:p>
    <w:p w14:paraId="3299525A" w14:textId="77777777" w:rsidR="00E624A4" w:rsidRPr="009C10F2" w:rsidRDefault="00E624A4" w:rsidP="009A775E">
      <w:pPr>
        <w:pStyle w:val="ListParagraph"/>
        <w:numPr>
          <w:ilvl w:val="1"/>
          <w:numId w:val="1"/>
        </w:numPr>
        <w:spacing w:after="40" w:line="280" w:lineRule="exact"/>
        <w:rPr>
          <w:rFonts w:cs="Calibri"/>
          <w:iCs/>
        </w:rPr>
      </w:pPr>
      <w:r w:rsidRPr="009C10F2">
        <w:rPr>
          <w:rFonts w:cs="Calibri"/>
          <w:iCs/>
        </w:rPr>
        <w:t>Project Goals:</w:t>
      </w:r>
      <w:r w:rsidRPr="009C10F2">
        <w:rPr>
          <w:rFonts w:cs="Calibri"/>
          <w:iCs/>
        </w:rPr>
        <w:tab/>
      </w:r>
    </w:p>
    <w:p w14:paraId="7D43DB1A" w14:textId="77777777" w:rsidR="00E624A4" w:rsidRPr="009C10F2" w:rsidRDefault="00E624A4" w:rsidP="00E624A4">
      <w:pPr>
        <w:pStyle w:val="ListParagraph"/>
        <w:numPr>
          <w:ilvl w:val="2"/>
          <w:numId w:val="1"/>
        </w:numPr>
        <w:spacing w:after="40" w:line="280" w:lineRule="exact"/>
        <w:rPr>
          <w:rFonts w:cs="Calibri"/>
          <w:iCs/>
        </w:rPr>
      </w:pPr>
      <w:r w:rsidRPr="009C10F2">
        <w:rPr>
          <w:rFonts w:cs="Calibri"/>
          <w:iCs/>
        </w:rPr>
        <w:t xml:space="preserve">Develop and test a replicable community-driven research agenda rooted in JFF’s Workforce Transformation Strategy and aligned to JFF’s Racial Economic Equity Call to Action. </w:t>
      </w:r>
    </w:p>
    <w:p w14:paraId="7EAEBC6B" w14:textId="77777777" w:rsidR="00E624A4" w:rsidRPr="009C10F2" w:rsidRDefault="00E624A4" w:rsidP="00E624A4">
      <w:pPr>
        <w:pStyle w:val="ListParagraph"/>
        <w:numPr>
          <w:ilvl w:val="2"/>
          <w:numId w:val="1"/>
        </w:numPr>
        <w:spacing w:after="40" w:line="280" w:lineRule="exact"/>
        <w:rPr>
          <w:rFonts w:cs="Calibri"/>
          <w:iCs/>
        </w:rPr>
      </w:pPr>
      <w:r w:rsidRPr="009C10F2">
        <w:rPr>
          <w:rFonts w:cs="Calibri"/>
          <w:iCs/>
        </w:rPr>
        <w:t xml:space="preserve"> Identify a set of learning outcomes that speak to the ways in which specific policies, approaches, behaviors, or circumstances have impacted access, opportunity, and outcomes for Black people utilizing the public workforce system. </w:t>
      </w:r>
    </w:p>
    <w:p w14:paraId="2FAE9541" w14:textId="77777777" w:rsidR="00E624A4" w:rsidRPr="009C10F2" w:rsidRDefault="00E624A4" w:rsidP="00E624A4">
      <w:pPr>
        <w:pStyle w:val="ListParagraph"/>
        <w:numPr>
          <w:ilvl w:val="2"/>
          <w:numId w:val="1"/>
        </w:numPr>
        <w:spacing w:after="40" w:line="280" w:lineRule="exact"/>
        <w:rPr>
          <w:rFonts w:cs="Calibri"/>
          <w:iCs/>
        </w:rPr>
      </w:pPr>
      <w:r w:rsidRPr="009C10F2">
        <w:rPr>
          <w:rFonts w:cs="Calibri"/>
          <w:iCs/>
        </w:rPr>
        <w:t>Present findings and recommendations on policies, people, programs, and partnerships to a subset of your organization, including the private sector board of directors.</w:t>
      </w:r>
    </w:p>
    <w:p w14:paraId="62540190" w14:textId="77777777" w:rsidR="00A131D9" w:rsidRPr="009C10F2" w:rsidRDefault="00E624A4" w:rsidP="00E624A4">
      <w:pPr>
        <w:pStyle w:val="ListParagraph"/>
        <w:numPr>
          <w:ilvl w:val="1"/>
          <w:numId w:val="1"/>
        </w:numPr>
        <w:spacing w:after="40" w:line="280" w:lineRule="exact"/>
        <w:rPr>
          <w:rFonts w:cs="Calibri"/>
          <w:iCs/>
        </w:rPr>
      </w:pPr>
      <w:r w:rsidRPr="009C10F2">
        <w:rPr>
          <w:rFonts w:cs="Calibri"/>
          <w:iCs/>
        </w:rPr>
        <w:t xml:space="preserve">The project timeframe is March, 2023 to January, 2024.  JFF will provide guidance, technical assistance, and support funding in the amount of $15,000.  The overarching objective of the project is to equip local and regional workforce professionals with a research protocol and supporting tools that empower them to identify conditions, environments, and strategies that </w:t>
      </w:r>
      <w:r w:rsidRPr="009C10F2">
        <w:rPr>
          <w:rFonts w:cs="Calibri"/>
          <w:iCs/>
        </w:rPr>
        <w:lastRenderedPageBreak/>
        <w:t xml:space="preserve">generate and promote an unbiased inclusive human-centered approach to workforce service delivery.  </w:t>
      </w:r>
      <w:r w:rsidRPr="009C10F2">
        <w:rPr>
          <w:rFonts w:cs="Calibri"/>
          <w:color w:val="030303"/>
          <w:shd w:val="clear" w:color="auto" w:fill="FFFFFF"/>
        </w:rPr>
        <w:t xml:space="preserve">The Piedmont Triad Regional Workforce Development Board is excited to be a part of this initiative.    </w:t>
      </w:r>
    </w:p>
    <w:p w14:paraId="5524982F" w14:textId="71F101CD" w:rsidR="00A131D9" w:rsidRPr="009C10F2" w:rsidRDefault="004F1418" w:rsidP="00E624A4">
      <w:pPr>
        <w:pStyle w:val="ListParagraph"/>
        <w:numPr>
          <w:ilvl w:val="1"/>
          <w:numId w:val="1"/>
        </w:numPr>
        <w:spacing w:after="40" w:line="280" w:lineRule="exact"/>
        <w:rPr>
          <w:rFonts w:cs="Calibri"/>
          <w:iCs/>
        </w:rPr>
      </w:pPr>
      <w:r w:rsidRPr="009C10F2">
        <w:rPr>
          <w:rFonts w:cs="Calibri"/>
          <w:color w:val="030303"/>
          <w:shd w:val="clear" w:color="auto" w:fill="FFFFFF"/>
        </w:rPr>
        <w:t xml:space="preserve">Mr. </w:t>
      </w:r>
      <w:r w:rsidR="00A131D9" w:rsidRPr="009C10F2">
        <w:rPr>
          <w:rFonts w:cs="Calibri"/>
          <w:color w:val="030303"/>
          <w:shd w:val="clear" w:color="auto" w:fill="FFFFFF"/>
        </w:rPr>
        <w:t>Mark R</w:t>
      </w:r>
      <w:r w:rsidRPr="009C10F2">
        <w:rPr>
          <w:rFonts w:cs="Calibri"/>
          <w:color w:val="030303"/>
          <w:shd w:val="clear" w:color="auto" w:fill="FFFFFF"/>
        </w:rPr>
        <w:t>ichardson asked for an</w:t>
      </w:r>
      <w:r w:rsidR="00A131D9" w:rsidRPr="009C10F2">
        <w:rPr>
          <w:rFonts w:cs="Calibri"/>
          <w:color w:val="030303"/>
          <w:shd w:val="clear" w:color="auto" w:fill="FFFFFF"/>
        </w:rPr>
        <w:t xml:space="preserve"> example of technical </w:t>
      </w:r>
      <w:r w:rsidRPr="009C10F2">
        <w:rPr>
          <w:rFonts w:cs="Calibri"/>
          <w:color w:val="030303"/>
          <w:shd w:val="clear" w:color="auto" w:fill="FFFFFF"/>
        </w:rPr>
        <w:t>assistance in this instance. Ms. Walker-Fox explained that this initiative will pull together</w:t>
      </w:r>
      <w:r w:rsidR="00A131D9" w:rsidRPr="009C10F2">
        <w:rPr>
          <w:rFonts w:cs="Calibri"/>
          <w:color w:val="030303"/>
          <w:shd w:val="clear" w:color="auto" w:fill="FFFFFF"/>
        </w:rPr>
        <w:t xml:space="preserve"> community stakeholders and get their input.</w:t>
      </w:r>
      <w:r w:rsidRPr="009C10F2">
        <w:rPr>
          <w:rFonts w:cs="Calibri"/>
          <w:color w:val="030303"/>
          <w:shd w:val="clear" w:color="auto" w:fill="FFFFFF"/>
        </w:rPr>
        <w:t xml:space="preserve"> They will guide us in how to facilitate these conversations. </w:t>
      </w:r>
    </w:p>
    <w:p w14:paraId="58492900" w14:textId="3C737D5D" w:rsidR="00473C66" w:rsidRPr="009C10F2" w:rsidRDefault="004F1418" w:rsidP="00E624A4">
      <w:pPr>
        <w:pStyle w:val="ListParagraph"/>
        <w:numPr>
          <w:ilvl w:val="1"/>
          <w:numId w:val="1"/>
        </w:numPr>
        <w:spacing w:after="40" w:line="280" w:lineRule="exact"/>
        <w:rPr>
          <w:rFonts w:cs="Calibri"/>
          <w:iCs/>
        </w:rPr>
      </w:pPr>
      <w:r w:rsidRPr="009C10F2">
        <w:rPr>
          <w:rFonts w:cs="Calibri"/>
          <w:color w:val="030303"/>
          <w:shd w:val="clear" w:color="auto" w:fill="FFFFFF"/>
        </w:rPr>
        <w:t xml:space="preserve">We are hopeful that this will enable us to reach different communities in different ways. </w:t>
      </w:r>
      <w:r w:rsidR="00A131D9" w:rsidRPr="009C10F2">
        <w:rPr>
          <w:rFonts w:cs="Calibri"/>
          <w:color w:val="030303"/>
          <w:shd w:val="clear" w:color="auto" w:fill="FFFFFF"/>
        </w:rPr>
        <w:t xml:space="preserve"> </w:t>
      </w:r>
    </w:p>
    <w:p w14:paraId="5E021CD8" w14:textId="77777777" w:rsidR="00DA2E6E" w:rsidRPr="009C10F2" w:rsidRDefault="00DA2E6E" w:rsidP="00DA2E6E">
      <w:pPr>
        <w:pStyle w:val="ListParagraph"/>
        <w:spacing w:after="200" w:line="240" w:lineRule="auto"/>
        <w:rPr>
          <w:rFonts w:eastAsia="Times New Roman" w:cstheme="minorHAnsi"/>
        </w:rPr>
      </w:pPr>
    </w:p>
    <w:p w14:paraId="76535FBA" w14:textId="5EBB8480" w:rsidR="00AF1098" w:rsidRPr="009C10F2" w:rsidRDefault="000712D2" w:rsidP="00C5041F">
      <w:pPr>
        <w:pStyle w:val="ListParagraph"/>
        <w:numPr>
          <w:ilvl w:val="0"/>
          <w:numId w:val="1"/>
        </w:numPr>
        <w:spacing w:after="200" w:line="240" w:lineRule="auto"/>
        <w:rPr>
          <w:rFonts w:eastAsia="Times New Roman" w:cstheme="minorHAnsi"/>
          <w:b/>
        </w:rPr>
      </w:pPr>
      <w:r w:rsidRPr="009C10F2">
        <w:rPr>
          <w:rFonts w:cstheme="minorHAnsi"/>
          <w:b/>
          <w:iCs/>
        </w:rPr>
        <w:t xml:space="preserve"> </w:t>
      </w:r>
      <w:r w:rsidR="00EA3A46" w:rsidRPr="009C10F2">
        <w:rPr>
          <w:rFonts w:cstheme="minorHAnsi"/>
          <w:b/>
          <w:iCs/>
        </w:rPr>
        <w:t>Action Item:</w:t>
      </w:r>
      <w:r w:rsidR="00DA2E6E" w:rsidRPr="009C10F2">
        <w:rPr>
          <w:rFonts w:cstheme="minorHAnsi"/>
          <w:b/>
          <w:iCs/>
        </w:rPr>
        <w:t xml:space="preserve"> </w:t>
      </w:r>
      <w:r w:rsidR="00E624A4" w:rsidRPr="009C10F2">
        <w:rPr>
          <w:rFonts w:cstheme="minorHAnsi"/>
          <w:b/>
          <w:iCs/>
        </w:rPr>
        <w:t>Request authorization to enter into contract with regional nutrition providers for congregate nutrition services for the grant period March 1, 2023 – September 30, 2024</w:t>
      </w:r>
      <w:r w:rsidRPr="009C10F2">
        <w:rPr>
          <w:rFonts w:cstheme="minorHAnsi"/>
          <w:b/>
          <w:iCs/>
        </w:rPr>
        <w:t xml:space="preserve">, </w:t>
      </w:r>
      <w:r w:rsidR="00DA2E6E" w:rsidRPr="009C10F2">
        <w:rPr>
          <w:rFonts w:cstheme="minorHAnsi"/>
          <w:b/>
          <w:iCs/>
        </w:rPr>
        <w:t xml:space="preserve">Ms. </w:t>
      </w:r>
      <w:r w:rsidR="00E624A4" w:rsidRPr="009C10F2">
        <w:rPr>
          <w:rFonts w:cstheme="minorHAnsi"/>
          <w:b/>
          <w:iCs/>
        </w:rPr>
        <w:t>Adrienne Calhoun, Area Agency on Aging Director</w:t>
      </w:r>
    </w:p>
    <w:p w14:paraId="22583B4D" w14:textId="77777777" w:rsidR="00E624A4" w:rsidRPr="009C10F2" w:rsidRDefault="00E624A4" w:rsidP="00E624A4">
      <w:pPr>
        <w:pStyle w:val="ListParagraph"/>
        <w:numPr>
          <w:ilvl w:val="1"/>
          <w:numId w:val="1"/>
        </w:numPr>
        <w:spacing w:after="200" w:line="240" w:lineRule="auto"/>
        <w:rPr>
          <w:rFonts w:eastAsia="Calibri" w:cstheme="minorHAnsi"/>
        </w:rPr>
      </w:pPr>
      <w:r w:rsidRPr="009C10F2">
        <w:rPr>
          <w:rFonts w:eastAsia="Calibri" w:cstheme="minorHAnsi"/>
        </w:rPr>
        <w:t xml:space="preserve">ARPA funds provide a unique opportunity to consider needs and service delivery that have the potential to respond to unmet needs of older adults and family caregivers.  The PTRC AAA is taking a regional approach in distributing these funds-based on the priorities established by the North Carolina Division of Aging and Adult Services.  </w:t>
      </w:r>
    </w:p>
    <w:p w14:paraId="36063EE1" w14:textId="2EE32604" w:rsidR="004A4EEF" w:rsidRPr="009C10F2" w:rsidRDefault="00E624A4" w:rsidP="00E624A4">
      <w:pPr>
        <w:pStyle w:val="ListParagraph"/>
        <w:numPr>
          <w:ilvl w:val="1"/>
          <w:numId w:val="1"/>
        </w:numPr>
        <w:spacing w:after="200" w:line="240" w:lineRule="auto"/>
        <w:rPr>
          <w:rFonts w:eastAsia="Calibri" w:cstheme="minorHAnsi"/>
        </w:rPr>
      </w:pPr>
      <w:r w:rsidRPr="009C10F2">
        <w:rPr>
          <w:rFonts w:eastAsia="Calibri" w:cstheme="minorHAnsi"/>
        </w:rPr>
        <w:t xml:space="preserve">PTRC AAA made county specific ARPA Nutrition Services Congregate Meals and/or Congregate Grocery/Produce Bags mini grants available.  These are available to currently funded regional Nutrition Services providers.  Funds are for serving Congregate Meals and/or Congregate Grocery/Produce Bags to people age 60 years of age or older who have been or are currently receiving Congregate Meals and/or Congregate Grocery/Produce Bags through previously allocated COVID relief funds (Families First, CARES Act, ARPA). Congregate Meals and/or Congregate Grocery/Produce Bags may also be provided to new clients unable to be served due to insufficient Home and Community Care Block Grant funds. Nutrition Services providers awarded the grant funding must meet the NC Department of Health and Human Services (NC DHHS) Division of Aging Nutrition Service Standards (July 1, 2003) for Congregate Meals.  </w:t>
      </w:r>
    </w:p>
    <w:p w14:paraId="5B363035" w14:textId="3DAAFE33" w:rsidR="00E624A4" w:rsidRPr="009C10F2" w:rsidRDefault="00E624A4" w:rsidP="00E624A4">
      <w:pPr>
        <w:pStyle w:val="ListParagraph"/>
        <w:numPr>
          <w:ilvl w:val="1"/>
          <w:numId w:val="1"/>
        </w:numPr>
        <w:spacing w:after="200" w:line="240" w:lineRule="auto"/>
        <w:rPr>
          <w:rFonts w:eastAsia="Calibri" w:cstheme="minorHAnsi"/>
        </w:rPr>
      </w:pPr>
      <w:r w:rsidRPr="009C10F2">
        <w:rPr>
          <w:rFonts w:eastAsia="Calibri" w:cstheme="minorHAnsi"/>
        </w:rPr>
        <w:t>County specific allocations were based on the North Carolina Intrastate Funding Formula (IFF).</w:t>
      </w:r>
    </w:p>
    <w:p w14:paraId="63E6B7ED" w14:textId="602A5682" w:rsidR="00E624A4" w:rsidRPr="009C10F2" w:rsidRDefault="00E624A4" w:rsidP="00E624A4">
      <w:pPr>
        <w:pStyle w:val="ListParagraph"/>
        <w:numPr>
          <w:ilvl w:val="1"/>
          <w:numId w:val="1"/>
        </w:numPr>
        <w:spacing w:after="200" w:line="240" w:lineRule="auto"/>
        <w:rPr>
          <w:rFonts w:eastAsia="Calibri" w:cstheme="minorHAnsi"/>
        </w:rPr>
      </w:pPr>
      <w:r w:rsidRPr="009C10F2">
        <w:rPr>
          <w:rFonts w:eastAsia="Calibri" w:cstheme="minorHAnsi"/>
        </w:rPr>
        <w:t xml:space="preserve">Since the PTRC AAA received proposals from six county nutrition providers, the remaining funds ($302,874.00) were left unallocated.   The PTRC AAA didn’t want to leave funds unallocated so negotiations took place with the six county nutrition providers.  </w:t>
      </w:r>
    </w:p>
    <w:p w14:paraId="5345A4C0" w14:textId="2B783EAE" w:rsidR="00E624A4" w:rsidRPr="009C10F2" w:rsidRDefault="00E624A4" w:rsidP="00E624A4">
      <w:pPr>
        <w:pStyle w:val="ListParagraph"/>
        <w:numPr>
          <w:ilvl w:val="1"/>
          <w:numId w:val="1"/>
        </w:numPr>
        <w:spacing w:after="200" w:line="240" w:lineRule="auto"/>
        <w:rPr>
          <w:rFonts w:eastAsia="Calibri" w:cstheme="minorHAnsi"/>
        </w:rPr>
      </w:pPr>
      <w:r w:rsidRPr="009C10F2">
        <w:rPr>
          <w:rFonts w:eastAsia="Calibri" w:cstheme="minorHAnsi"/>
        </w:rPr>
        <w:t>The chart indicates funding awards.</w:t>
      </w:r>
    </w:p>
    <w:tbl>
      <w:tblPr>
        <w:tblStyle w:val="TableGrid22"/>
        <w:tblW w:w="8698" w:type="dxa"/>
        <w:jc w:val="center"/>
        <w:tblLook w:val="04A0" w:firstRow="1" w:lastRow="0" w:firstColumn="1" w:lastColumn="0" w:noHBand="0" w:noVBand="1"/>
      </w:tblPr>
      <w:tblGrid>
        <w:gridCol w:w="1198"/>
        <w:gridCol w:w="4177"/>
        <w:gridCol w:w="1961"/>
        <w:gridCol w:w="1362"/>
      </w:tblGrid>
      <w:tr w:rsidR="00E624A4" w:rsidRPr="009C10F2" w14:paraId="0620FF9E" w14:textId="77777777" w:rsidTr="00530FD9">
        <w:trPr>
          <w:trHeight w:val="567"/>
          <w:jc w:val="center"/>
        </w:trPr>
        <w:tc>
          <w:tcPr>
            <w:tcW w:w="1198" w:type="dxa"/>
            <w:shd w:val="clear" w:color="auto" w:fill="auto"/>
          </w:tcPr>
          <w:p w14:paraId="1FD6EE65" w14:textId="77777777" w:rsidR="00E624A4" w:rsidRPr="009C10F2" w:rsidRDefault="00E624A4" w:rsidP="009A775E">
            <w:pPr>
              <w:widowControl w:val="0"/>
              <w:autoSpaceDE w:val="0"/>
              <w:autoSpaceDN w:val="0"/>
              <w:jc w:val="center"/>
              <w:rPr>
                <w:rFonts w:eastAsia="Tahoma" w:cs="Calibri"/>
                <w:b/>
                <w:lang w:bidi="en-US"/>
              </w:rPr>
            </w:pPr>
            <w:r w:rsidRPr="009C10F2">
              <w:rPr>
                <w:rFonts w:eastAsia="Tahoma" w:cs="Calibri"/>
                <w:b/>
                <w:lang w:bidi="en-US"/>
              </w:rPr>
              <w:t>County</w:t>
            </w:r>
          </w:p>
        </w:tc>
        <w:tc>
          <w:tcPr>
            <w:tcW w:w="4177" w:type="dxa"/>
            <w:shd w:val="clear" w:color="auto" w:fill="auto"/>
          </w:tcPr>
          <w:p w14:paraId="571A0BE5" w14:textId="77777777" w:rsidR="00E624A4" w:rsidRPr="009C10F2" w:rsidRDefault="00E624A4" w:rsidP="009A775E">
            <w:pPr>
              <w:widowControl w:val="0"/>
              <w:autoSpaceDE w:val="0"/>
              <w:autoSpaceDN w:val="0"/>
              <w:jc w:val="center"/>
              <w:rPr>
                <w:rFonts w:eastAsia="Tahoma" w:cs="Calibri"/>
                <w:b/>
                <w:lang w:bidi="en-US"/>
              </w:rPr>
            </w:pPr>
            <w:r w:rsidRPr="009C10F2">
              <w:rPr>
                <w:rFonts w:eastAsia="Tahoma" w:cs="Calibri"/>
                <w:b/>
                <w:lang w:bidi="en-US"/>
              </w:rPr>
              <w:t>Nutrition Providers</w:t>
            </w:r>
          </w:p>
        </w:tc>
        <w:tc>
          <w:tcPr>
            <w:tcW w:w="1961" w:type="dxa"/>
            <w:shd w:val="clear" w:color="auto" w:fill="auto"/>
          </w:tcPr>
          <w:p w14:paraId="4D6C4EDB" w14:textId="77777777" w:rsidR="00E624A4" w:rsidRPr="009C10F2" w:rsidRDefault="00E624A4" w:rsidP="009A775E">
            <w:pPr>
              <w:widowControl w:val="0"/>
              <w:autoSpaceDE w:val="0"/>
              <w:autoSpaceDN w:val="0"/>
              <w:jc w:val="center"/>
              <w:rPr>
                <w:rFonts w:eastAsia="Tahoma" w:cs="Calibri"/>
                <w:b/>
                <w:lang w:bidi="en-US"/>
              </w:rPr>
            </w:pPr>
            <w:r w:rsidRPr="009C10F2">
              <w:rPr>
                <w:rFonts w:eastAsia="Tahoma" w:cs="Calibri"/>
                <w:b/>
                <w:lang w:bidi="en-US"/>
              </w:rPr>
              <w:t xml:space="preserve">Funded Nutrition Services </w:t>
            </w:r>
          </w:p>
        </w:tc>
        <w:tc>
          <w:tcPr>
            <w:tcW w:w="1362" w:type="dxa"/>
            <w:shd w:val="clear" w:color="auto" w:fill="auto"/>
          </w:tcPr>
          <w:p w14:paraId="32EB40C8" w14:textId="77777777" w:rsidR="00E624A4" w:rsidRPr="009C10F2" w:rsidRDefault="00E624A4" w:rsidP="009A775E">
            <w:pPr>
              <w:widowControl w:val="0"/>
              <w:autoSpaceDE w:val="0"/>
              <w:autoSpaceDN w:val="0"/>
              <w:jc w:val="center"/>
              <w:rPr>
                <w:rFonts w:eastAsia="Tahoma" w:cs="Calibri"/>
                <w:b/>
                <w:lang w:bidi="en-US"/>
              </w:rPr>
            </w:pPr>
            <w:r w:rsidRPr="009C10F2">
              <w:rPr>
                <w:rFonts w:eastAsia="Tahoma" w:cs="Calibri"/>
                <w:b/>
                <w:lang w:bidi="en-US"/>
              </w:rPr>
              <w:t xml:space="preserve">Funding Award </w:t>
            </w:r>
          </w:p>
        </w:tc>
      </w:tr>
      <w:tr w:rsidR="00E624A4" w:rsidRPr="009C10F2" w14:paraId="0427593F" w14:textId="77777777" w:rsidTr="00530FD9">
        <w:trPr>
          <w:trHeight w:val="505"/>
          <w:jc w:val="center"/>
        </w:trPr>
        <w:tc>
          <w:tcPr>
            <w:tcW w:w="1198" w:type="dxa"/>
          </w:tcPr>
          <w:p w14:paraId="3AFB0466"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Davidson</w:t>
            </w:r>
          </w:p>
        </w:tc>
        <w:tc>
          <w:tcPr>
            <w:tcW w:w="4177" w:type="dxa"/>
          </w:tcPr>
          <w:p w14:paraId="3ED3DCFC" w14:textId="021A6EEA" w:rsidR="00E624A4" w:rsidRPr="009C10F2" w:rsidRDefault="00E624A4" w:rsidP="004F1418">
            <w:pPr>
              <w:rPr>
                <w:rFonts w:eastAsia="Tahoma" w:cs="Calibri"/>
                <w:lang w:bidi="en-US"/>
              </w:rPr>
            </w:pPr>
            <w:r w:rsidRPr="009C10F2">
              <w:rPr>
                <w:rFonts w:eastAsia="Times New Roman" w:cs="Calibri"/>
                <w:lang w:bidi="en-US"/>
              </w:rPr>
              <w:t>Davidson County Department of Senior Services</w:t>
            </w:r>
            <w:r w:rsidRPr="009C10F2">
              <w:rPr>
                <w:rFonts w:eastAsia="Tahoma" w:cs="Calibri"/>
                <w:bCs/>
                <w:lang w:bidi="en-US"/>
              </w:rPr>
              <w:t xml:space="preserve">                      </w:t>
            </w:r>
          </w:p>
        </w:tc>
        <w:tc>
          <w:tcPr>
            <w:tcW w:w="1961" w:type="dxa"/>
            <w:tcBorders>
              <w:top w:val="single" w:sz="4" w:space="0" w:color="auto"/>
            </w:tcBorders>
          </w:tcPr>
          <w:p w14:paraId="4BA2DFB9" w14:textId="1BBD1AB4" w:rsidR="00E624A4" w:rsidRPr="009C10F2" w:rsidRDefault="00E624A4" w:rsidP="004F1418">
            <w:pPr>
              <w:widowControl w:val="0"/>
              <w:autoSpaceDE w:val="0"/>
              <w:autoSpaceDN w:val="0"/>
              <w:jc w:val="right"/>
              <w:rPr>
                <w:rFonts w:eastAsia="Tahoma" w:cs="Calibri"/>
                <w:lang w:bidi="en-US"/>
              </w:rPr>
            </w:pPr>
            <w:r w:rsidRPr="009C10F2">
              <w:rPr>
                <w:rFonts w:eastAsia="Tahoma" w:cs="Calibri"/>
                <w:lang w:bidi="en-US"/>
              </w:rPr>
              <w:t>Congregate Nutrition</w:t>
            </w:r>
          </w:p>
        </w:tc>
        <w:tc>
          <w:tcPr>
            <w:tcW w:w="1362" w:type="dxa"/>
          </w:tcPr>
          <w:p w14:paraId="426DAA34" w14:textId="77777777" w:rsidR="00E624A4" w:rsidRPr="009C10F2" w:rsidRDefault="00E624A4" w:rsidP="009A775E">
            <w:pPr>
              <w:jc w:val="right"/>
              <w:rPr>
                <w:rFonts w:eastAsia="Tahoma" w:cs="Calibri"/>
                <w:lang w:bidi="en-US"/>
              </w:rPr>
            </w:pPr>
            <w:r w:rsidRPr="009C10F2">
              <w:rPr>
                <w:rFonts w:eastAsia="Times New Roman" w:cs="Calibri"/>
                <w:bCs/>
                <w:color w:val="000000"/>
              </w:rPr>
              <w:t>114,624</w:t>
            </w:r>
          </w:p>
        </w:tc>
      </w:tr>
      <w:tr w:rsidR="00E624A4" w:rsidRPr="009C10F2" w14:paraId="533B8E91" w14:textId="77777777" w:rsidTr="00530FD9">
        <w:trPr>
          <w:trHeight w:val="585"/>
          <w:jc w:val="center"/>
        </w:trPr>
        <w:tc>
          <w:tcPr>
            <w:tcW w:w="1198" w:type="dxa"/>
          </w:tcPr>
          <w:p w14:paraId="74977CE2"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Forsyth</w:t>
            </w:r>
          </w:p>
        </w:tc>
        <w:tc>
          <w:tcPr>
            <w:tcW w:w="4177" w:type="dxa"/>
          </w:tcPr>
          <w:p w14:paraId="51ACF0D4" w14:textId="727D5B5E" w:rsidR="00E624A4" w:rsidRPr="009C10F2" w:rsidRDefault="00E624A4" w:rsidP="004F1418">
            <w:pPr>
              <w:rPr>
                <w:rFonts w:cs="Calibri"/>
                <w:u w:val="single"/>
                <w:lang w:bidi="en-US"/>
              </w:rPr>
            </w:pPr>
            <w:r w:rsidRPr="009C10F2">
              <w:rPr>
                <w:rFonts w:eastAsia="Times New Roman" w:cs="Calibri"/>
                <w:lang w:bidi="en-US"/>
              </w:rPr>
              <w:t>Senior Services, Inc.</w:t>
            </w:r>
          </w:p>
          <w:p w14:paraId="729FDBE4" w14:textId="77777777" w:rsidR="00E624A4" w:rsidRPr="009C10F2" w:rsidRDefault="00E624A4" w:rsidP="009A775E">
            <w:pPr>
              <w:widowControl w:val="0"/>
              <w:autoSpaceDE w:val="0"/>
              <w:autoSpaceDN w:val="0"/>
              <w:rPr>
                <w:rFonts w:eastAsia="Tahoma" w:cs="Calibri"/>
                <w:lang w:bidi="en-US"/>
              </w:rPr>
            </w:pPr>
          </w:p>
        </w:tc>
        <w:tc>
          <w:tcPr>
            <w:tcW w:w="1961" w:type="dxa"/>
          </w:tcPr>
          <w:p w14:paraId="61469ECC" w14:textId="6D4C9F6F" w:rsidR="00E624A4" w:rsidRPr="009C10F2" w:rsidRDefault="00E624A4" w:rsidP="004F1418">
            <w:pPr>
              <w:jc w:val="right"/>
              <w:rPr>
                <w:rFonts w:eastAsia="Tahoma" w:cs="Calibri"/>
                <w:lang w:bidi="en-US"/>
              </w:rPr>
            </w:pPr>
            <w:r w:rsidRPr="009C10F2">
              <w:rPr>
                <w:rFonts w:eastAsia="Times New Roman" w:cs="Calibri"/>
                <w:lang w:bidi="en-US"/>
              </w:rPr>
              <w:t>Congregate Nutrition</w:t>
            </w:r>
          </w:p>
        </w:tc>
        <w:tc>
          <w:tcPr>
            <w:tcW w:w="1362" w:type="dxa"/>
          </w:tcPr>
          <w:p w14:paraId="6D46E13B" w14:textId="77777777" w:rsidR="00E624A4" w:rsidRPr="009C10F2" w:rsidRDefault="00E624A4" w:rsidP="009A775E">
            <w:pPr>
              <w:jc w:val="right"/>
              <w:rPr>
                <w:rFonts w:eastAsia="Tahoma" w:cs="Calibri"/>
                <w:lang w:bidi="en-US"/>
              </w:rPr>
            </w:pPr>
            <w:r w:rsidRPr="009C10F2">
              <w:rPr>
                <w:rFonts w:eastAsia="Times New Roman" w:cs="Calibri"/>
                <w:lang w:bidi="en-US"/>
              </w:rPr>
              <w:t>222,602</w:t>
            </w:r>
          </w:p>
        </w:tc>
      </w:tr>
      <w:tr w:rsidR="00E624A4" w:rsidRPr="009C10F2" w14:paraId="33657551" w14:textId="77777777" w:rsidTr="00530FD9">
        <w:trPr>
          <w:trHeight w:val="425"/>
          <w:jc w:val="center"/>
        </w:trPr>
        <w:tc>
          <w:tcPr>
            <w:tcW w:w="1198" w:type="dxa"/>
          </w:tcPr>
          <w:p w14:paraId="2ED92D83"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Randolph</w:t>
            </w:r>
          </w:p>
        </w:tc>
        <w:tc>
          <w:tcPr>
            <w:tcW w:w="4177" w:type="dxa"/>
          </w:tcPr>
          <w:p w14:paraId="5CB3D673" w14:textId="77777777" w:rsidR="00E624A4" w:rsidRPr="009C10F2" w:rsidRDefault="00E624A4" w:rsidP="009A775E">
            <w:pPr>
              <w:widowControl w:val="0"/>
              <w:autoSpaceDE w:val="0"/>
              <w:autoSpaceDN w:val="0"/>
              <w:rPr>
                <w:rFonts w:eastAsia="Tahoma" w:cs="Calibri"/>
                <w:lang w:bidi="en-US"/>
              </w:rPr>
            </w:pPr>
            <w:r w:rsidRPr="009C10F2">
              <w:rPr>
                <w:rFonts w:eastAsia="Times New Roman" w:cs="Calibri"/>
                <w:lang w:bidi="en-US"/>
              </w:rPr>
              <w:t>Randolph Senior Adults Association, Inc</w:t>
            </w:r>
          </w:p>
        </w:tc>
        <w:tc>
          <w:tcPr>
            <w:tcW w:w="1961" w:type="dxa"/>
          </w:tcPr>
          <w:p w14:paraId="3B5CC739" w14:textId="0912D334" w:rsidR="00E624A4" w:rsidRPr="009C10F2" w:rsidRDefault="00E624A4" w:rsidP="004F1418">
            <w:pPr>
              <w:jc w:val="right"/>
              <w:rPr>
                <w:rFonts w:eastAsia="Tahoma" w:cs="Calibri"/>
                <w:lang w:bidi="en-US"/>
              </w:rPr>
            </w:pPr>
            <w:r w:rsidRPr="009C10F2">
              <w:rPr>
                <w:rFonts w:eastAsia="Times New Roman" w:cs="Calibri"/>
                <w:lang w:bidi="en-US"/>
              </w:rPr>
              <w:t>Congregate Meals</w:t>
            </w:r>
          </w:p>
        </w:tc>
        <w:tc>
          <w:tcPr>
            <w:tcW w:w="1362" w:type="dxa"/>
          </w:tcPr>
          <w:p w14:paraId="7153B576" w14:textId="77777777" w:rsidR="00E624A4" w:rsidRPr="009C10F2" w:rsidRDefault="00E624A4" w:rsidP="009A775E">
            <w:pPr>
              <w:jc w:val="right"/>
              <w:rPr>
                <w:rFonts w:eastAsia="Tahoma" w:cs="Calibri"/>
                <w:lang w:bidi="en-US"/>
              </w:rPr>
            </w:pPr>
            <w:r w:rsidRPr="009C10F2">
              <w:rPr>
                <w:rFonts w:eastAsia="Tahoma" w:cs="Calibri"/>
                <w:lang w:bidi="en-US"/>
              </w:rPr>
              <w:t>65,000</w:t>
            </w:r>
          </w:p>
        </w:tc>
      </w:tr>
      <w:tr w:rsidR="00E624A4" w:rsidRPr="009C10F2" w14:paraId="1D3667CD" w14:textId="77777777" w:rsidTr="00530FD9">
        <w:trPr>
          <w:trHeight w:val="434"/>
          <w:jc w:val="center"/>
        </w:trPr>
        <w:tc>
          <w:tcPr>
            <w:tcW w:w="1198" w:type="dxa"/>
          </w:tcPr>
          <w:p w14:paraId="56526B3B"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Stokes</w:t>
            </w:r>
          </w:p>
        </w:tc>
        <w:tc>
          <w:tcPr>
            <w:tcW w:w="4177" w:type="dxa"/>
          </w:tcPr>
          <w:p w14:paraId="32E8A93A" w14:textId="77777777" w:rsidR="00E624A4" w:rsidRPr="009C10F2" w:rsidRDefault="00E624A4" w:rsidP="009A775E">
            <w:pPr>
              <w:widowControl w:val="0"/>
              <w:autoSpaceDE w:val="0"/>
              <w:autoSpaceDN w:val="0"/>
              <w:rPr>
                <w:rFonts w:eastAsia="Tahoma" w:cs="Calibri"/>
                <w:lang w:bidi="en-US"/>
              </w:rPr>
            </w:pPr>
            <w:r w:rsidRPr="009C10F2">
              <w:rPr>
                <w:rFonts w:eastAsia="Tahoma" w:cs="Calibri"/>
                <w:lang w:bidi="en-US"/>
              </w:rPr>
              <w:t>Stokes County Senior Services</w:t>
            </w:r>
          </w:p>
        </w:tc>
        <w:tc>
          <w:tcPr>
            <w:tcW w:w="1961" w:type="dxa"/>
          </w:tcPr>
          <w:p w14:paraId="22B0D40A" w14:textId="77777777" w:rsidR="00E624A4" w:rsidRPr="009C10F2" w:rsidRDefault="00E624A4" w:rsidP="009A775E">
            <w:pPr>
              <w:widowControl w:val="0"/>
              <w:autoSpaceDE w:val="0"/>
              <w:autoSpaceDN w:val="0"/>
              <w:jc w:val="right"/>
              <w:rPr>
                <w:rFonts w:eastAsia="Tahoma" w:cs="Calibri"/>
                <w:lang w:bidi="en-US"/>
              </w:rPr>
            </w:pPr>
            <w:r w:rsidRPr="009C10F2">
              <w:rPr>
                <w:rFonts w:eastAsia="Tahoma" w:cs="Calibri"/>
                <w:lang w:bidi="en-US"/>
              </w:rPr>
              <w:t xml:space="preserve">Congregate Nutrition </w:t>
            </w:r>
          </w:p>
        </w:tc>
        <w:tc>
          <w:tcPr>
            <w:tcW w:w="1362" w:type="dxa"/>
          </w:tcPr>
          <w:p w14:paraId="74C33F6C" w14:textId="77777777" w:rsidR="00E624A4" w:rsidRPr="009C10F2" w:rsidRDefault="00E624A4" w:rsidP="009A775E">
            <w:pPr>
              <w:widowControl w:val="0"/>
              <w:autoSpaceDE w:val="0"/>
              <w:autoSpaceDN w:val="0"/>
              <w:jc w:val="right"/>
              <w:rPr>
                <w:rFonts w:cs="Calibri"/>
                <w:bCs/>
              </w:rPr>
            </w:pPr>
            <w:r w:rsidRPr="009C10F2">
              <w:rPr>
                <w:rFonts w:eastAsia="Tahoma" w:cs="Calibri"/>
                <w:bCs/>
                <w:lang w:bidi="en-US"/>
              </w:rPr>
              <w:t>60,515</w:t>
            </w:r>
          </w:p>
          <w:p w14:paraId="0165107E" w14:textId="77777777" w:rsidR="00E624A4" w:rsidRPr="009C10F2" w:rsidRDefault="00E624A4" w:rsidP="009A775E">
            <w:pPr>
              <w:jc w:val="right"/>
              <w:rPr>
                <w:rFonts w:eastAsia="Tahoma" w:cs="Calibri"/>
                <w:lang w:bidi="en-US"/>
              </w:rPr>
            </w:pPr>
          </w:p>
        </w:tc>
      </w:tr>
      <w:tr w:rsidR="00E624A4" w:rsidRPr="009C10F2" w14:paraId="7B8CE024" w14:textId="77777777" w:rsidTr="00530FD9">
        <w:trPr>
          <w:trHeight w:val="425"/>
          <w:jc w:val="center"/>
        </w:trPr>
        <w:tc>
          <w:tcPr>
            <w:tcW w:w="1198" w:type="dxa"/>
          </w:tcPr>
          <w:p w14:paraId="4B38D587"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Surry</w:t>
            </w:r>
          </w:p>
        </w:tc>
        <w:tc>
          <w:tcPr>
            <w:tcW w:w="4177" w:type="dxa"/>
          </w:tcPr>
          <w:p w14:paraId="5E6467E8" w14:textId="77777777" w:rsidR="00E624A4" w:rsidRPr="009C10F2" w:rsidRDefault="00E624A4" w:rsidP="009A775E">
            <w:pPr>
              <w:widowControl w:val="0"/>
              <w:autoSpaceDE w:val="0"/>
              <w:autoSpaceDN w:val="0"/>
              <w:rPr>
                <w:rFonts w:eastAsia="Tahoma" w:cs="Calibri"/>
                <w:lang w:bidi="en-US"/>
              </w:rPr>
            </w:pPr>
            <w:r w:rsidRPr="009C10F2">
              <w:rPr>
                <w:rFonts w:eastAsia="Times New Roman" w:cs="Calibri"/>
                <w:lang w:bidi="en-US"/>
              </w:rPr>
              <w:t>Yadkin Valley Economic Development District, Inc. (YVEDDI)</w:t>
            </w:r>
          </w:p>
        </w:tc>
        <w:tc>
          <w:tcPr>
            <w:tcW w:w="1961" w:type="dxa"/>
          </w:tcPr>
          <w:p w14:paraId="4CF318EE" w14:textId="77777777" w:rsidR="00E624A4" w:rsidRPr="009C10F2" w:rsidRDefault="00E624A4" w:rsidP="009A775E">
            <w:pPr>
              <w:widowControl w:val="0"/>
              <w:autoSpaceDE w:val="0"/>
              <w:autoSpaceDN w:val="0"/>
              <w:jc w:val="right"/>
              <w:rPr>
                <w:rFonts w:eastAsia="Tahoma" w:cs="Calibri"/>
                <w:lang w:bidi="en-US"/>
              </w:rPr>
            </w:pPr>
            <w:r w:rsidRPr="009C10F2">
              <w:rPr>
                <w:rFonts w:eastAsia="Times New Roman" w:cs="Calibri"/>
                <w:lang w:bidi="en-US"/>
              </w:rPr>
              <w:t>Congregate Nutrition</w:t>
            </w:r>
          </w:p>
        </w:tc>
        <w:tc>
          <w:tcPr>
            <w:tcW w:w="1362" w:type="dxa"/>
          </w:tcPr>
          <w:p w14:paraId="251040A6" w14:textId="77777777" w:rsidR="00E624A4" w:rsidRPr="009C10F2" w:rsidRDefault="00E624A4" w:rsidP="009A775E">
            <w:pPr>
              <w:jc w:val="right"/>
              <w:rPr>
                <w:rFonts w:eastAsia="Tahoma" w:cs="Calibri"/>
                <w:lang w:bidi="en-US"/>
              </w:rPr>
            </w:pPr>
            <w:r w:rsidRPr="009C10F2">
              <w:rPr>
                <w:rFonts w:eastAsia="Tahoma" w:cs="Calibri"/>
                <w:bCs/>
                <w:lang w:bidi="en-US"/>
              </w:rPr>
              <w:t>71,059</w:t>
            </w:r>
          </w:p>
        </w:tc>
      </w:tr>
      <w:tr w:rsidR="00E624A4" w:rsidRPr="009C10F2" w14:paraId="6A8EE7A1" w14:textId="77777777" w:rsidTr="00530FD9">
        <w:trPr>
          <w:trHeight w:val="434"/>
          <w:jc w:val="center"/>
        </w:trPr>
        <w:tc>
          <w:tcPr>
            <w:tcW w:w="1198" w:type="dxa"/>
          </w:tcPr>
          <w:p w14:paraId="667FBBFD" w14:textId="77777777" w:rsidR="00E624A4" w:rsidRPr="009C10F2" w:rsidRDefault="00E624A4" w:rsidP="009A775E">
            <w:pPr>
              <w:widowControl w:val="0"/>
              <w:autoSpaceDE w:val="0"/>
              <w:autoSpaceDN w:val="0"/>
              <w:rPr>
                <w:rFonts w:eastAsia="Tahoma" w:cs="Calibri"/>
                <w:lang w:bidi="en-US"/>
              </w:rPr>
            </w:pPr>
            <w:r w:rsidRPr="009C10F2">
              <w:rPr>
                <w:rFonts w:eastAsia="Tahoma" w:cs="Calibri"/>
                <w:bCs/>
                <w:lang w:bidi="en-US"/>
              </w:rPr>
              <w:t>Yadkin</w:t>
            </w:r>
          </w:p>
        </w:tc>
        <w:tc>
          <w:tcPr>
            <w:tcW w:w="4177" w:type="dxa"/>
          </w:tcPr>
          <w:p w14:paraId="4D5BBCF0" w14:textId="77777777" w:rsidR="00E624A4" w:rsidRPr="009C10F2" w:rsidRDefault="00E624A4" w:rsidP="009A775E">
            <w:pPr>
              <w:widowControl w:val="0"/>
              <w:autoSpaceDE w:val="0"/>
              <w:autoSpaceDN w:val="0"/>
              <w:rPr>
                <w:rFonts w:eastAsia="Tahoma" w:cs="Calibri"/>
                <w:lang w:bidi="en-US"/>
              </w:rPr>
            </w:pPr>
            <w:r w:rsidRPr="009C10F2">
              <w:rPr>
                <w:rFonts w:eastAsia="Times New Roman" w:cs="Calibri"/>
                <w:lang w:bidi="en-US"/>
              </w:rPr>
              <w:t>Yadkin Valley Economic Development District, Inc. (YVEDDI)</w:t>
            </w:r>
          </w:p>
        </w:tc>
        <w:tc>
          <w:tcPr>
            <w:tcW w:w="1961" w:type="dxa"/>
          </w:tcPr>
          <w:p w14:paraId="536C2FD5" w14:textId="77777777" w:rsidR="00E624A4" w:rsidRPr="009C10F2" w:rsidRDefault="00E624A4" w:rsidP="009A775E">
            <w:pPr>
              <w:widowControl w:val="0"/>
              <w:autoSpaceDE w:val="0"/>
              <w:autoSpaceDN w:val="0"/>
              <w:jc w:val="right"/>
              <w:rPr>
                <w:rFonts w:eastAsia="Tahoma" w:cs="Calibri"/>
                <w:lang w:bidi="en-US"/>
              </w:rPr>
            </w:pPr>
            <w:r w:rsidRPr="009C10F2">
              <w:rPr>
                <w:rFonts w:eastAsia="Times New Roman" w:cs="Calibri"/>
                <w:lang w:bidi="en-US"/>
              </w:rPr>
              <w:t>Congregate Nutrition</w:t>
            </w:r>
          </w:p>
        </w:tc>
        <w:tc>
          <w:tcPr>
            <w:tcW w:w="1362" w:type="dxa"/>
          </w:tcPr>
          <w:p w14:paraId="7873E6C0" w14:textId="77777777" w:rsidR="00E624A4" w:rsidRPr="009C10F2" w:rsidRDefault="00E624A4" w:rsidP="009A775E">
            <w:pPr>
              <w:jc w:val="right"/>
              <w:rPr>
                <w:rFonts w:eastAsia="Tahoma" w:cs="Calibri"/>
                <w:bCs/>
                <w:lang w:bidi="en-US"/>
              </w:rPr>
            </w:pPr>
            <w:r w:rsidRPr="009C10F2">
              <w:rPr>
                <w:rFonts w:eastAsia="Tahoma" w:cs="Calibri"/>
                <w:bCs/>
                <w:lang w:bidi="en-US"/>
              </w:rPr>
              <w:t>55,525</w:t>
            </w:r>
          </w:p>
          <w:p w14:paraId="116854EE" w14:textId="77777777" w:rsidR="00E624A4" w:rsidRPr="009C10F2" w:rsidRDefault="00E624A4" w:rsidP="009A775E">
            <w:pPr>
              <w:jc w:val="right"/>
              <w:rPr>
                <w:rFonts w:eastAsia="Tahoma" w:cs="Calibri"/>
                <w:highlight w:val="yellow"/>
                <w:lang w:bidi="en-US"/>
              </w:rPr>
            </w:pPr>
          </w:p>
        </w:tc>
      </w:tr>
      <w:tr w:rsidR="00E624A4" w:rsidRPr="009C10F2" w14:paraId="5A72160D" w14:textId="77777777" w:rsidTr="00530FD9">
        <w:trPr>
          <w:trHeight w:val="843"/>
          <w:jc w:val="center"/>
        </w:trPr>
        <w:tc>
          <w:tcPr>
            <w:tcW w:w="1198" w:type="dxa"/>
          </w:tcPr>
          <w:p w14:paraId="7BC99200" w14:textId="77777777" w:rsidR="00E624A4" w:rsidRPr="009C10F2" w:rsidRDefault="00E624A4" w:rsidP="009A775E">
            <w:pPr>
              <w:widowControl w:val="0"/>
              <w:autoSpaceDE w:val="0"/>
              <w:autoSpaceDN w:val="0"/>
              <w:rPr>
                <w:rFonts w:eastAsia="Tahoma" w:cs="Calibri"/>
                <w:b/>
                <w:lang w:bidi="en-US"/>
              </w:rPr>
            </w:pPr>
            <w:r w:rsidRPr="009C10F2">
              <w:rPr>
                <w:rFonts w:eastAsia="Tahoma" w:cs="Calibri"/>
                <w:b/>
                <w:lang w:bidi="en-US"/>
              </w:rPr>
              <w:lastRenderedPageBreak/>
              <w:t xml:space="preserve">Total ARPA Funding </w:t>
            </w:r>
          </w:p>
        </w:tc>
        <w:tc>
          <w:tcPr>
            <w:tcW w:w="4177" w:type="dxa"/>
            <w:shd w:val="clear" w:color="auto" w:fill="767171"/>
          </w:tcPr>
          <w:p w14:paraId="7EF2F4B2" w14:textId="77777777" w:rsidR="00E624A4" w:rsidRPr="009C10F2" w:rsidRDefault="00E624A4" w:rsidP="009A775E">
            <w:pPr>
              <w:widowControl w:val="0"/>
              <w:autoSpaceDE w:val="0"/>
              <w:autoSpaceDN w:val="0"/>
              <w:jc w:val="right"/>
              <w:rPr>
                <w:rFonts w:eastAsia="Tahoma" w:cs="Calibri"/>
                <w:b/>
                <w:lang w:bidi="en-US"/>
              </w:rPr>
            </w:pPr>
          </w:p>
          <w:p w14:paraId="49A243AE" w14:textId="77777777" w:rsidR="00E624A4" w:rsidRPr="009C10F2" w:rsidRDefault="00E624A4" w:rsidP="009A775E">
            <w:pPr>
              <w:widowControl w:val="0"/>
              <w:autoSpaceDE w:val="0"/>
              <w:autoSpaceDN w:val="0"/>
              <w:jc w:val="right"/>
              <w:rPr>
                <w:rFonts w:eastAsia="Tahoma" w:cs="Calibri"/>
                <w:b/>
                <w:lang w:bidi="en-US"/>
              </w:rPr>
            </w:pPr>
          </w:p>
        </w:tc>
        <w:tc>
          <w:tcPr>
            <w:tcW w:w="1961" w:type="dxa"/>
            <w:shd w:val="clear" w:color="auto" w:fill="767171"/>
          </w:tcPr>
          <w:p w14:paraId="710B3D27" w14:textId="77777777" w:rsidR="00E624A4" w:rsidRPr="009C10F2" w:rsidRDefault="00E624A4" w:rsidP="009A775E">
            <w:pPr>
              <w:widowControl w:val="0"/>
              <w:autoSpaceDE w:val="0"/>
              <w:autoSpaceDN w:val="0"/>
              <w:jc w:val="right"/>
              <w:rPr>
                <w:rFonts w:eastAsia="Tahoma" w:cs="Calibri"/>
                <w:b/>
                <w:lang w:bidi="en-US"/>
              </w:rPr>
            </w:pPr>
          </w:p>
          <w:p w14:paraId="5736044B" w14:textId="77777777" w:rsidR="00E624A4" w:rsidRPr="009C10F2" w:rsidRDefault="00E624A4" w:rsidP="009A775E">
            <w:pPr>
              <w:widowControl w:val="0"/>
              <w:autoSpaceDE w:val="0"/>
              <w:autoSpaceDN w:val="0"/>
              <w:jc w:val="right"/>
              <w:rPr>
                <w:rFonts w:eastAsia="Tahoma" w:cs="Calibri"/>
                <w:b/>
                <w:lang w:bidi="en-US"/>
              </w:rPr>
            </w:pPr>
          </w:p>
        </w:tc>
        <w:tc>
          <w:tcPr>
            <w:tcW w:w="1362" w:type="dxa"/>
          </w:tcPr>
          <w:p w14:paraId="4E4F864A" w14:textId="77777777" w:rsidR="00E624A4" w:rsidRPr="009C10F2" w:rsidRDefault="00E624A4" w:rsidP="009A775E">
            <w:pPr>
              <w:widowControl w:val="0"/>
              <w:autoSpaceDE w:val="0"/>
              <w:autoSpaceDN w:val="0"/>
              <w:rPr>
                <w:rFonts w:eastAsia="Tahoma" w:cs="Calibri"/>
                <w:b/>
                <w:bCs/>
                <w:color w:val="444444"/>
                <w:shd w:val="clear" w:color="auto" w:fill="F5F9FC"/>
                <w:lang w:bidi="en-US"/>
              </w:rPr>
            </w:pPr>
          </w:p>
          <w:p w14:paraId="5BDFA4F1" w14:textId="77777777" w:rsidR="00E624A4" w:rsidRPr="009C10F2" w:rsidRDefault="00E624A4" w:rsidP="009A775E">
            <w:pPr>
              <w:widowControl w:val="0"/>
              <w:autoSpaceDE w:val="0"/>
              <w:autoSpaceDN w:val="0"/>
              <w:jc w:val="center"/>
              <w:rPr>
                <w:rFonts w:eastAsia="Tahoma" w:cs="Calibri"/>
                <w:b/>
                <w:lang w:bidi="en-US"/>
              </w:rPr>
            </w:pPr>
            <w:r w:rsidRPr="009C10F2">
              <w:rPr>
                <w:rFonts w:eastAsia="Tahoma" w:cs="Calibri"/>
                <w:b/>
                <w:lang w:bidi="en-US"/>
              </w:rPr>
              <w:t>$589,325</w:t>
            </w:r>
          </w:p>
          <w:p w14:paraId="2DC78625" w14:textId="77777777" w:rsidR="00E624A4" w:rsidRPr="009C10F2" w:rsidRDefault="00E624A4" w:rsidP="009A775E">
            <w:pPr>
              <w:widowControl w:val="0"/>
              <w:autoSpaceDE w:val="0"/>
              <w:autoSpaceDN w:val="0"/>
              <w:jc w:val="right"/>
              <w:rPr>
                <w:rFonts w:eastAsia="Tahoma" w:cs="Calibri"/>
                <w:b/>
                <w:lang w:bidi="en-US"/>
              </w:rPr>
            </w:pPr>
          </w:p>
        </w:tc>
      </w:tr>
    </w:tbl>
    <w:p w14:paraId="49A7C6BA" w14:textId="77777777" w:rsidR="004F1418" w:rsidRPr="009C10F2" w:rsidRDefault="004F1418" w:rsidP="004F1418">
      <w:pPr>
        <w:pStyle w:val="ListParagraph"/>
        <w:spacing w:after="200" w:line="240" w:lineRule="auto"/>
        <w:ind w:left="360"/>
        <w:rPr>
          <w:rFonts w:cstheme="minorHAnsi"/>
          <w:b/>
          <w:iCs/>
        </w:rPr>
      </w:pPr>
    </w:p>
    <w:p w14:paraId="3E8B9659" w14:textId="0A285DEB" w:rsidR="00AF1098" w:rsidRPr="009C10F2" w:rsidRDefault="00AF1098" w:rsidP="00C5041F">
      <w:pPr>
        <w:pStyle w:val="ListParagraph"/>
        <w:numPr>
          <w:ilvl w:val="0"/>
          <w:numId w:val="3"/>
        </w:numPr>
        <w:spacing w:after="200" w:line="240" w:lineRule="auto"/>
        <w:rPr>
          <w:rFonts w:cstheme="minorHAnsi"/>
          <w:b/>
          <w:iCs/>
        </w:rPr>
      </w:pPr>
      <w:r w:rsidRPr="009C10F2">
        <w:rPr>
          <w:rFonts w:cstheme="minorHAnsi"/>
          <w:b/>
          <w:iCs/>
        </w:rPr>
        <w:t>Action I</w:t>
      </w:r>
      <w:r w:rsidR="00B933F8" w:rsidRPr="009C10F2">
        <w:rPr>
          <w:rFonts w:cstheme="minorHAnsi"/>
          <w:b/>
          <w:iCs/>
        </w:rPr>
        <w:t xml:space="preserve">tem: </w:t>
      </w:r>
      <w:r w:rsidR="009D3CAD" w:rsidRPr="009C10F2">
        <w:rPr>
          <w:rFonts w:cstheme="minorHAnsi"/>
          <w:b/>
          <w:iCs/>
        </w:rPr>
        <w:t>Request authorization to enter into contract with two funded partners for ARPA Home Delivered Meals for contract period March 1, 2023 – September 30 2024</w:t>
      </w:r>
      <w:r w:rsidR="00DA2E6E" w:rsidRPr="009C10F2">
        <w:rPr>
          <w:rFonts w:cstheme="minorHAnsi"/>
          <w:b/>
          <w:iCs/>
        </w:rPr>
        <w:t xml:space="preserve">, Ms. </w:t>
      </w:r>
      <w:r w:rsidR="009D3CAD" w:rsidRPr="009C10F2">
        <w:rPr>
          <w:rFonts w:cstheme="minorHAnsi"/>
          <w:b/>
          <w:iCs/>
        </w:rPr>
        <w:t>Adrienne Calhoun, Director, Area Agency on Aging</w:t>
      </w:r>
    </w:p>
    <w:p w14:paraId="7D71F075" w14:textId="77777777" w:rsidR="009D3CAD" w:rsidRPr="009C10F2" w:rsidRDefault="009D3CAD" w:rsidP="009D3CAD">
      <w:pPr>
        <w:pStyle w:val="ListParagraph"/>
        <w:numPr>
          <w:ilvl w:val="1"/>
          <w:numId w:val="3"/>
        </w:numPr>
        <w:spacing w:after="0" w:line="240" w:lineRule="auto"/>
        <w:rPr>
          <w:rFonts w:eastAsia="Times New Roman" w:cs="Calibri"/>
        </w:rPr>
      </w:pPr>
      <w:r w:rsidRPr="009C10F2">
        <w:rPr>
          <w:rFonts w:eastAsia="Times New Roman" w:cs="Calibri"/>
        </w:rPr>
        <w:t xml:space="preserve">ARPA funds provide a unique opportunity to consider needs and service delivery that have the potential to respond to unmet needs of older adults and family caregivers.  The PTRC AAA is taking a regional approach in distributing these funds-based on the priorities established by the North Carolina Division of Aging and Adult Services.  </w:t>
      </w:r>
    </w:p>
    <w:p w14:paraId="22B23ED4" w14:textId="77777777" w:rsidR="00473C66" w:rsidRPr="009C10F2" w:rsidRDefault="009D3CAD" w:rsidP="009D3CAD">
      <w:pPr>
        <w:pStyle w:val="ListParagraph"/>
        <w:numPr>
          <w:ilvl w:val="1"/>
          <w:numId w:val="3"/>
        </w:numPr>
        <w:spacing w:after="0" w:line="240" w:lineRule="auto"/>
        <w:rPr>
          <w:rFonts w:eastAsia="Times New Roman" w:cs="Calibri"/>
        </w:rPr>
      </w:pPr>
      <w:r w:rsidRPr="009C10F2">
        <w:rPr>
          <w:rFonts w:eastAsia="Times New Roman" w:cs="Calibri"/>
          <w:shd w:val="clear" w:color="auto" w:fill="FFFFFF"/>
        </w:rPr>
        <w:t>PTRC AAA is making two ARPA Nutrition Services Home Delivered Meals and/or Home Delivered Meals Grocery/Produce Bags mini grants available in the amount of $58,200 each.  These grants are available to currently funded regional Nutrition Services providers for service delivery in one or more of the following counties: Alamance, Caswell, Davidson, Davie, Forsyth, Guilford, Montgomery, Randolph, Rockingham, Stokes, Surry and Yadkin.  Funds are for serving Home Delivered Meals and/or Home Delivered Meals Grocery/Produce Bags to people age 60 years of age or older who are currently waiting for Title III funded Home Delivered Meals service. Nutrition Services providers awarded the grant funding must meet the NC Department of Health and Human Services (NC DHHS) Division of Aging Nutrition Service Standards (July 1, 2003) for Home Delivered Meals.</w:t>
      </w:r>
    </w:p>
    <w:p w14:paraId="785DF594" w14:textId="0188D952" w:rsidR="009D3CAD" w:rsidRPr="009C10F2" w:rsidRDefault="009D3CAD" w:rsidP="009A775E">
      <w:pPr>
        <w:pStyle w:val="ListParagraph"/>
        <w:widowControl w:val="0"/>
        <w:numPr>
          <w:ilvl w:val="1"/>
          <w:numId w:val="3"/>
        </w:numPr>
        <w:autoSpaceDE w:val="0"/>
        <w:autoSpaceDN w:val="0"/>
        <w:spacing w:before="200" w:after="0" w:line="240" w:lineRule="auto"/>
        <w:ind w:right="135"/>
        <w:rPr>
          <w:rFonts w:eastAsia="Tahoma" w:cs="Calibri"/>
          <w:lang w:bidi="en-US"/>
        </w:rPr>
      </w:pPr>
      <w:r w:rsidRPr="009C10F2">
        <w:rPr>
          <w:rFonts w:eastAsia="Times New Roman" w:cs="Calibri"/>
        </w:rPr>
        <w:t>  </w:t>
      </w:r>
      <w:r w:rsidRPr="009C10F2">
        <w:rPr>
          <w:rFonts w:eastAsia="Tahoma" w:cs="Calibri"/>
          <w:lang w:bidi="en-US"/>
        </w:rPr>
        <w:t>The chart indicates funding awards.</w:t>
      </w:r>
    </w:p>
    <w:tbl>
      <w:tblPr>
        <w:tblStyle w:val="TableGrid23"/>
        <w:tblW w:w="7843" w:type="dxa"/>
        <w:jc w:val="center"/>
        <w:tblLook w:val="04A0" w:firstRow="1" w:lastRow="0" w:firstColumn="1" w:lastColumn="0" w:noHBand="0" w:noVBand="1"/>
      </w:tblPr>
      <w:tblGrid>
        <w:gridCol w:w="1099"/>
        <w:gridCol w:w="3214"/>
        <w:gridCol w:w="2272"/>
        <w:gridCol w:w="1258"/>
      </w:tblGrid>
      <w:tr w:rsidR="009D3CAD" w:rsidRPr="009C10F2" w14:paraId="5F5C3519" w14:textId="77777777" w:rsidTr="009D3CAD">
        <w:trPr>
          <w:trHeight w:val="318"/>
          <w:jc w:val="center"/>
        </w:trPr>
        <w:tc>
          <w:tcPr>
            <w:tcW w:w="826" w:type="dxa"/>
            <w:shd w:val="clear" w:color="auto" w:fill="auto"/>
          </w:tcPr>
          <w:p w14:paraId="2F8E6897" w14:textId="77777777" w:rsidR="009D3CAD" w:rsidRPr="009C10F2" w:rsidRDefault="009D3CAD" w:rsidP="009D3CAD">
            <w:pPr>
              <w:widowControl w:val="0"/>
              <w:autoSpaceDE w:val="0"/>
              <w:autoSpaceDN w:val="0"/>
              <w:jc w:val="center"/>
              <w:rPr>
                <w:rFonts w:eastAsia="Tahoma" w:cs="Calibri"/>
                <w:b/>
                <w:lang w:bidi="en-US"/>
              </w:rPr>
            </w:pPr>
            <w:r w:rsidRPr="009C10F2">
              <w:rPr>
                <w:rFonts w:eastAsia="Tahoma" w:cs="Calibri"/>
                <w:b/>
                <w:lang w:bidi="en-US"/>
              </w:rPr>
              <w:t>County</w:t>
            </w:r>
          </w:p>
        </w:tc>
        <w:tc>
          <w:tcPr>
            <w:tcW w:w="3374" w:type="dxa"/>
            <w:shd w:val="clear" w:color="auto" w:fill="auto"/>
          </w:tcPr>
          <w:p w14:paraId="4D739030" w14:textId="77777777" w:rsidR="009D3CAD" w:rsidRPr="009C10F2" w:rsidRDefault="009D3CAD" w:rsidP="009D3CAD">
            <w:pPr>
              <w:widowControl w:val="0"/>
              <w:autoSpaceDE w:val="0"/>
              <w:autoSpaceDN w:val="0"/>
              <w:jc w:val="center"/>
              <w:rPr>
                <w:rFonts w:eastAsia="Tahoma" w:cs="Calibri"/>
                <w:b/>
                <w:lang w:bidi="en-US"/>
              </w:rPr>
            </w:pPr>
            <w:r w:rsidRPr="009C10F2">
              <w:rPr>
                <w:rFonts w:eastAsia="Tahoma" w:cs="Calibri"/>
                <w:b/>
                <w:lang w:bidi="en-US"/>
              </w:rPr>
              <w:t>Nutrition Providers</w:t>
            </w:r>
          </w:p>
        </w:tc>
        <w:tc>
          <w:tcPr>
            <w:tcW w:w="2362" w:type="dxa"/>
            <w:shd w:val="clear" w:color="auto" w:fill="auto"/>
          </w:tcPr>
          <w:p w14:paraId="7D5255D9" w14:textId="77777777" w:rsidR="009D3CAD" w:rsidRPr="009C10F2" w:rsidRDefault="009D3CAD" w:rsidP="009D3CAD">
            <w:pPr>
              <w:widowControl w:val="0"/>
              <w:autoSpaceDE w:val="0"/>
              <w:autoSpaceDN w:val="0"/>
              <w:jc w:val="center"/>
              <w:rPr>
                <w:rFonts w:eastAsia="Tahoma" w:cs="Calibri"/>
                <w:b/>
                <w:lang w:bidi="en-US"/>
              </w:rPr>
            </w:pPr>
            <w:r w:rsidRPr="009C10F2">
              <w:rPr>
                <w:rFonts w:eastAsia="Tahoma" w:cs="Calibri"/>
                <w:b/>
                <w:lang w:bidi="en-US"/>
              </w:rPr>
              <w:t xml:space="preserve">Funded Nutrition Services </w:t>
            </w:r>
          </w:p>
        </w:tc>
        <w:tc>
          <w:tcPr>
            <w:tcW w:w="1281" w:type="dxa"/>
            <w:shd w:val="clear" w:color="auto" w:fill="auto"/>
          </w:tcPr>
          <w:p w14:paraId="54DDE30C" w14:textId="77777777" w:rsidR="009D3CAD" w:rsidRPr="009C10F2" w:rsidRDefault="009D3CAD" w:rsidP="009D3CAD">
            <w:pPr>
              <w:widowControl w:val="0"/>
              <w:autoSpaceDE w:val="0"/>
              <w:autoSpaceDN w:val="0"/>
              <w:jc w:val="center"/>
              <w:rPr>
                <w:rFonts w:eastAsia="Tahoma" w:cs="Calibri"/>
                <w:b/>
                <w:lang w:bidi="en-US"/>
              </w:rPr>
            </w:pPr>
            <w:r w:rsidRPr="009C10F2">
              <w:rPr>
                <w:rFonts w:eastAsia="Tahoma" w:cs="Calibri"/>
                <w:b/>
                <w:lang w:bidi="en-US"/>
              </w:rPr>
              <w:t xml:space="preserve">Funding Award </w:t>
            </w:r>
          </w:p>
        </w:tc>
      </w:tr>
      <w:tr w:rsidR="009D3CAD" w:rsidRPr="009C10F2" w14:paraId="01E5C381" w14:textId="77777777" w:rsidTr="009D3CAD">
        <w:trPr>
          <w:trHeight w:val="624"/>
          <w:jc w:val="center"/>
        </w:trPr>
        <w:tc>
          <w:tcPr>
            <w:tcW w:w="826" w:type="dxa"/>
          </w:tcPr>
          <w:p w14:paraId="6F6DF5F1" w14:textId="77777777" w:rsidR="009D3CAD" w:rsidRPr="009C10F2" w:rsidRDefault="009D3CAD" w:rsidP="009D3CAD">
            <w:pPr>
              <w:widowControl w:val="0"/>
              <w:autoSpaceDE w:val="0"/>
              <w:autoSpaceDN w:val="0"/>
              <w:rPr>
                <w:rFonts w:eastAsia="Tahoma" w:cs="Calibri"/>
                <w:lang w:bidi="en-US"/>
              </w:rPr>
            </w:pPr>
            <w:r w:rsidRPr="009C10F2">
              <w:rPr>
                <w:rFonts w:eastAsia="Tahoma" w:cs="Calibri"/>
                <w:lang w:bidi="en-US"/>
              </w:rPr>
              <w:t xml:space="preserve">Alamance </w:t>
            </w:r>
          </w:p>
        </w:tc>
        <w:tc>
          <w:tcPr>
            <w:tcW w:w="3374" w:type="dxa"/>
          </w:tcPr>
          <w:p w14:paraId="68811409" w14:textId="2B48FCE4" w:rsidR="009D3CAD" w:rsidRPr="009C10F2" w:rsidRDefault="009D3CAD" w:rsidP="009D3CAD">
            <w:pPr>
              <w:rPr>
                <w:rFonts w:eastAsia="Times New Roman" w:cs="Calibri"/>
                <w:lang w:bidi="en-US"/>
              </w:rPr>
            </w:pPr>
            <w:r w:rsidRPr="009C10F2">
              <w:rPr>
                <w:rFonts w:eastAsia="Times New Roman" w:cs="Calibri"/>
                <w:lang w:bidi="en-US"/>
              </w:rPr>
              <w:t>Alamance County Meals on Wheels, Inc.</w:t>
            </w:r>
            <w:r w:rsidRPr="009C10F2">
              <w:rPr>
                <w:rFonts w:eastAsia="Tahoma" w:cs="Calibri"/>
                <w:bCs/>
                <w:lang w:bidi="en-US"/>
              </w:rPr>
              <w:t xml:space="preserve">               </w:t>
            </w:r>
          </w:p>
        </w:tc>
        <w:tc>
          <w:tcPr>
            <w:tcW w:w="2362" w:type="dxa"/>
            <w:tcBorders>
              <w:top w:val="single" w:sz="4" w:space="0" w:color="auto"/>
            </w:tcBorders>
          </w:tcPr>
          <w:p w14:paraId="5494090B" w14:textId="3C2D9553" w:rsidR="009D3CAD" w:rsidRPr="009C10F2" w:rsidRDefault="009D3CAD" w:rsidP="004F1418">
            <w:pPr>
              <w:widowControl w:val="0"/>
              <w:autoSpaceDE w:val="0"/>
              <w:autoSpaceDN w:val="0"/>
              <w:jc w:val="right"/>
              <w:rPr>
                <w:rFonts w:eastAsia="Tahoma" w:cs="Calibri"/>
                <w:lang w:bidi="en-US"/>
              </w:rPr>
            </w:pPr>
            <w:r w:rsidRPr="009C10F2">
              <w:rPr>
                <w:rFonts w:eastAsia="Tahoma" w:cs="Calibri"/>
                <w:lang w:bidi="en-US"/>
              </w:rPr>
              <w:t>Home Delivered Meals Nutrition Services</w:t>
            </w:r>
          </w:p>
        </w:tc>
        <w:tc>
          <w:tcPr>
            <w:tcW w:w="1281" w:type="dxa"/>
          </w:tcPr>
          <w:p w14:paraId="4E2BD060" w14:textId="77777777" w:rsidR="009D3CAD" w:rsidRPr="009C10F2" w:rsidRDefault="009D3CAD" w:rsidP="009D3CAD">
            <w:pPr>
              <w:jc w:val="right"/>
              <w:rPr>
                <w:rFonts w:eastAsia="Tahoma" w:cs="Calibri"/>
                <w:lang w:bidi="en-US"/>
              </w:rPr>
            </w:pPr>
            <w:r w:rsidRPr="009C10F2">
              <w:rPr>
                <w:rFonts w:eastAsia="Times New Roman" w:cs="Calibri"/>
                <w:bCs/>
                <w:color w:val="000000"/>
              </w:rPr>
              <w:t>58,200</w:t>
            </w:r>
          </w:p>
        </w:tc>
      </w:tr>
      <w:tr w:rsidR="009D3CAD" w:rsidRPr="009C10F2" w14:paraId="78D0A23B" w14:textId="77777777" w:rsidTr="009D3CAD">
        <w:trPr>
          <w:trHeight w:val="257"/>
          <w:jc w:val="center"/>
        </w:trPr>
        <w:tc>
          <w:tcPr>
            <w:tcW w:w="826" w:type="dxa"/>
          </w:tcPr>
          <w:p w14:paraId="6689CA0F" w14:textId="77777777" w:rsidR="009D3CAD" w:rsidRPr="009C10F2" w:rsidRDefault="009D3CAD" w:rsidP="009D3CAD">
            <w:pPr>
              <w:widowControl w:val="0"/>
              <w:autoSpaceDE w:val="0"/>
              <w:autoSpaceDN w:val="0"/>
              <w:rPr>
                <w:rFonts w:eastAsia="Tahoma" w:cs="Calibri"/>
                <w:lang w:bidi="en-US"/>
              </w:rPr>
            </w:pPr>
            <w:r w:rsidRPr="009C10F2">
              <w:rPr>
                <w:rFonts w:eastAsia="Tahoma" w:cs="Calibri"/>
                <w:lang w:bidi="en-US"/>
              </w:rPr>
              <w:t>Stokes</w:t>
            </w:r>
          </w:p>
        </w:tc>
        <w:tc>
          <w:tcPr>
            <w:tcW w:w="3374" w:type="dxa"/>
          </w:tcPr>
          <w:p w14:paraId="20C3C13D" w14:textId="1FF4890D" w:rsidR="009D3CAD" w:rsidRPr="009C10F2" w:rsidRDefault="009D3CAD" w:rsidP="004F1418">
            <w:pPr>
              <w:widowControl w:val="0"/>
              <w:autoSpaceDE w:val="0"/>
              <w:autoSpaceDN w:val="0"/>
              <w:rPr>
                <w:rFonts w:eastAsia="Tahoma" w:cs="Calibri"/>
                <w:lang w:bidi="en-US"/>
              </w:rPr>
            </w:pPr>
            <w:r w:rsidRPr="009C10F2">
              <w:rPr>
                <w:rFonts w:cs="Calibri"/>
                <w:lang w:bidi="en-US"/>
              </w:rPr>
              <w:t>Stokes County Senior Services</w:t>
            </w:r>
            <w:r w:rsidRPr="009C10F2">
              <w:rPr>
                <w:rFonts w:cs="Calibri"/>
                <w:u w:val="single"/>
                <w:lang w:bidi="en-US"/>
              </w:rPr>
              <w:t xml:space="preserve"> </w:t>
            </w:r>
          </w:p>
        </w:tc>
        <w:tc>
          <w:tcPr>
            <w:tcW w:w="2362" w:type="dxa"/>
          </w:tcPr>
          <w:p w14:paraId="7221B55C" w14:textId="13FECE08" w:rsidR="009D3CAD" w:rsidRPr="009C10F2" w:rsidRDefault="009D3CAD" w:rsidP="004F1418">
            <w:pPr>
              <w:jc w:val="right"/>
              <w:rPr>
                <w:rFonts w:eastAsia="Tahoma" w:cs="Calibri"/>
                <w:lang w:bidi="en-US"/>
              </w:rPr>
            </w:pPr>
            <w:r w:rsidRPr="009C10F2">
              <w:rPr>
                <w:rFonts w:eastAsia="Times New Roman" w:cs="Calibri"/>
                <w:lang w:bidi="en-US"/>
              </w:rPr>
              <w:t>Home Delivered Meals Nutrition Services</w:t>
            </w:r>
          </w:p>
        </w:tc>
        <w:tc>
          <w:tcPr>
            <w:tcW w:w="1281" w:type="dxa"/>
          </w:tcPr>
          <w:p w14:paraId="1237915F" w14:textId="77777777" w:rsidR="009D3CAD" w:rsidRPr="009C10F2" w:rsidRDefault="009D3CAD" w:rsidP="009D3CAD">
            <w:pPr>
              <w:jc w:val="right"/>
              <w:rPr>
                <w:rFonts w:eastAsia="Tahoma" w:cs="Calibri"/>
                <w:lang w:bidi="en-US"/>
              </w:rPr>
            </w:pPr>
            <w:r w:rsidRPr="009C10F2">
              <w:rPr>
                <w:rFonts w:eastAsia="Tahoma" w:cs="Calibri"/>
                <w:lang w:bidi="en-US"/>
              </w:rPr>
              <w:t>58,200</w:t>
            </w:r>
          </w:p>
        </w:tc>
      </w:tr>
    </w:tbl>
    <w:p w14:paraId="7B82D502" w14:textId="77777777" w:rsidR="009D3CAD" w:rsidRPr="009C10F2" w:rsidRDefault="009D3CAD" w:rsidP="009D3CAD">
      <w:pPr>
        <w:pStyle w:val="ListParagraph"/>
        <w:widowControl w:val="0"/>
        <w:autoSpaceDE w:val="0"/>
        <w:autoSpaceDN w:val="0"/>
        <w:spacing w:before="200" w:after="0" w:line="240" w:lineRule="auto"/>
        <w:ind w:right="135"/>
        <w:rPr>
          <w:rFonts w:eastAsia="Tahoma" w:cs="Calibri"/>
          <w:lang w:bidi="en-US"/>
        </w:rPr>
      </w:pPr>
    </w:p>
    <w:p w14:paraId="056F2F79" w14:textId="787F637E" w:rsidR="00F31578" w:rsidRPr="009C10F2" w:rsidRDefault="00F31578" w:rsidP="00C5041F">
      <w:pPr>
        <w:pStyle w:val="ListParagraph"/>
        <w:numPr>
          <w:ilvl w:val="0"/>
          <w:numId w:val="3"/>
        </w:numPr>
        <w:spacing w:after="200" w:line="240" w:lineRule="auto"/>
        <w:rPr>
          <w:rFonts w:eastAsia="Times New Roman" w:cstheme="minorHAnsi"/>
          <w:b/>
        </w:rPr>
      </w:pPr>
      <w:r w:rsidRPr="009C10F2">
        <w:rPr>
          <w:rFonts w:cstheme="minorHAnsi"/>
          <w:b/>
          <w:iCs/>
        </w:rPr>
        <w:t>Action Item:</w:t>
      </w:r>
      <w:r w:rsidR="001678E9" w:rsidRPr="009C10F2">
        <w:rPr>
          <w:rFonts w:cstheme="minorHAnsi"/>
          <w:b/>
          <w:iCs/>
        </w:rPr>
        <w:t xml:space="preserve"> </w:t>
      </w:r>
      <w:r w:rsidR="00530FD9" w:rsidRPr="009C10F2">
        <w:rPr>
          <w:rFonts w:cstheme="minorHAnsi"/>
          <w:b/>
          <w:iCs/>
        </w:rPr>
        <w:t>Request authorization to enter into contract with the North Carolina Department of Insurance for Medicare Improvements for Patients and Providers Act 2008 (MIPPA) funding in the amount of $110,811 for the period of September 1, 2022- August 31, 2023</w:t>
      </w:r>
      <w:r w:rsidR="001678E9" w:rsidRPr="009C10F2">
        <w:rPr>
          <w:rFonts w:cstheme="minorHAnsi"/>
          <w:b/>
          <w:iCs/>
        </w:rPr>
        <w:t xml:space="preserve">, </w:t>
      </w:r>
      <w:r w:rsidR="00610C48" w:rsidRPr="009C10F2">
        <w:rPr>
          <w:rFonts w:cstheme="minorHAnsi"/>
          <w:b/>
          <w:iCs/>
        </w:rPr>
        <w:t>M</w:t>
      </w:r>
      <w:r w:rsidR="00530FD9" w:rsidRPr="009C10F2">
        <w:rPr>
          <w:rFonts w:cstheme="minorHAnsi"/>
          <w:b/>
          <w:iCs/>
        </w:rPr>
        <w:t>s</w:t>
      </w:r>
      <w:r w:rsidR="00610C48" w:rsidRPr="009C10F2">
        <w:rPr>
          <w:rFonts w:cstheme="minorHAnsi"/>
          <w:b/>
          <w:iCs/>
        </w:rPr>
        <w:t xml:space="preserve">. </w:t>
      </w:r>
      <w:r w:rsidR="00530FD9" w:rsidRPr="009C10F2">
        <w:rPr>
          <w:rFonts w:cstheme="minorHAnsi"/>
          <w:b/>
          <w:iCs/>
        </w:rPr>
        <w:t>Adrienne Calhoun, Aging Director, Area Agency on Aging</w:t>
      </w:r>
    </w:p>
    <w:p w14:paraId="56C0CA66" w14:textId="77777777" w:rsidR="00530FD9" w:rsidRPr="009C10F2" w:rsidRDefault="00530FD9" w:rsidP="00530FD9">
      <w:pPr>
        <w:pStyle w:val="ListParagraph"/>
        <w:numPr>
          <w:ilvl w:val="1"/>
          <w:numId w:val="3"/>
        </w:numPr>
        <w:spacing w:after="200" w:line="240" w:lineRule="auto"/>
        <w:rPr>
          <w:rFonts w:eastAsia="Times New Roman" w:cstheme="minorHAnsi"/>
        </w:rPr>
      </w:pPr>
      <w:r w:rsidRPr="009C10F2">
        <w:rPr>
          <w:rFonts w:eastAsia="Times New Roman" w:cstheme="minorHAnsi"/>
        </w:rPr>
        <w:t>Area Agencies on Aging (AAA) across North Carolina are working with Senior Health Insurance Information Programs (SHIIP) to outreach to older adults and individuals who have mental or physical disabilities who are eligible for Low Income Subsidized Medicare benefits.  The PTRC Area Agency on Aging has been awarded $110,811 to provide outreach and education across the region.</w:t>
      </w:r>
    </w:p>
    <w:p w14:paraId="299C3484" w14:textId="198C33A6" w:rsidR="00DA2E6E" w:rsidRDefault="00530FD9" w:rsidP="00530FD9">
      <w:pPr>
        <w:pStyle w:val="ListParagraph"/>
        <w:numPr>
          <w:ilvl w:val="1"/>
          <w:numId w:val="3"/>
        </w:numPr>
        <w:spacing w:after="200" w:line="240" w:lineRule="auto"/>
        <w:rPr>
          <w:rFonts w:eastAsia="Times New Roman" w:cstheme="minorHAnsi"/>
        </w:rPr>
      </w:pPr>
      <w:r w:rsidRPr="009C10F2">
        <w:rPr>
          <w:rFonts w:eastAsia="Times New Roman" w:cstheme="minorHAnsi"/>
        </w:rPr>
        <w:t>This allocation will allow the AAA to identify potential beneficiaries throughout the region using varies methods and targeted outreach.  We will use all connections we have to leverage an increased number of people.  In anticipation of this funding, we have already discussed targeting methods with SHIIP coordinators to effectively service our counties.</w:t>
      </w:r>
    </w:p>
    <w:p w14:paraId="32A627D2" w14:textId="77777777" w:rsidR="00147152" w:rsidRPr="009C10F2" w:rsidRDefault="00147152" w:rsidP="00147152">
      <w:pPr>
        <w:pStyle w:val="ListParagraph"/>
        <w:spacing w:after="200" w:line="240" w:lineRule="auto"/>
        <w:rPr>
          <w:rFonts w:eastAsia="Times New Roman" w:cstheme="minorHAnsi"/>
        </w:rPr>
      </w:pPr>
      <w:bookmarkStart w:id="4" w:name="_GoBack"/>
      <w:bookmarkEnd w:id="4"/>
    </w:p>
    <w:p w14:paraId="4BF4AD06" w14:textId="4FBB8856" w:rsidR="00DA2E6E" w:rsidRPr="009C10F2" w:rsidRDefault="00DA2E6E" w:rsidP="00DA2E6E">
      <w:pPr>
        <w:pStyle w:val="ListParagraph"/>
        <w:numPr>
          <w:ilvl w:val="0"/>
          <w:numId w:val="3"/>
        </w:numPr>
        <w:rPr>
          <w:rFonts w:eastAsia="Times New Roman" w:cstheme="minorHAnsi"/>
          <w:b/>
        </w:rPr>
      </w:pPr>
      <w:r w:rsidRPr="009C10F2">
        <w:rPr>
          <w:rFonts w:eastAsia="Times New Roman" w:cstheme="minorHAnsi"/>
          <w:b/>
        </w:rPr>
        <w:t xml:space="preserve">Action Item: </w:t>
      </w:r>
      <w:r w:rsidR="00530FD9" w:rsidRPr="009C10F2">
        <w:rPr>
          <w:rFonts w:eastAsia="Times New Roman" w:cstheme="minorHAnsi"/>
          <w:b/>
        </w:rPr>
        <w:t xml:space="preserve">Request authorization to enter into a Master Agreement with Cornerstone Health Enablement Strategic Solutions, LLC (CHESS) for Provision of Services.  The term of this Agreement </w:t>
      </w:r>
      <w:r w:rsidR="00530FD9" w:rsidRPr="009C10F2">
        <w:rPr>
          <w:rFonts w:eastAsia="Times New Roman" w:cstheme="minorHAnsi"/>
          <w:b/>
        </w:rPr>
        <w:lastRenderedPageBreak/>
        <w:t>shall commence as of the Effective Date and shall continue for so long as any addendum is active</w:t>
      </w:r>
      <w:r w:rsidRPr="009C10F2">
        <w:rPr>
          <w:rFonts w:eastAsia="Times New Roman" w:cstheme="minorHAnsi"/>
          <w:b/>
        </w:rPr>
        <w:t xml:space="preserve">, Ms. </w:t>
      </w:r>
      <w:r w:rsidR="00530FD9" w:rsidRPr="009C10F2">
        <w:rPr>
          <w:rFonts w:eastAsia="Times New Roman" w:cstheme="minorHAnsi"/>
          <w:b/>
        </w:rPr>
        <w:t>Adrienne Calhoun, Aging Director, Area Agency on Aging</w:t>
      </w:r>
    </w:p>
    <w:p w14:paraId="404B37C4" w14:textId="77777777" w:rsidR="00530FD9" w:rsidRPr="009C10F2" w:rsidRDefault="00530FD9" w:rsidP="00530FD9">
      <w:pPr>
        <w:pStyle w:val="ListParagraph"/>
        <w:numPr>
          <w:ilvl w:val="1"/>
          <w:numId w:val="3"/>
        </w:numPr>
        <w:autoSpaceDE w:val="0"/>
        <w:autoSpaceDN w:val="0"/>
        <w:adjustRightInd w:val="0"/>
        <w:spacing w:after="0" w:line="240" w:lineRule="auto"/>
        <w:rPr>
          <w:rFonts w:cs="Calibri"/>
        </w:rPr>
      </w:pPr>
      <w:r w:rsidRPr="009C10F2">
        <w:rPr>
          <w:rFonts w:cs="Calibri"/>
        </w:rPr>
        <w:t>CHESS is a value-based services organization that operates Accountable Care Organization(s) (“</w:t>
      </w:r>
      <w:proofErr w:type="gramStart"/>
      <w:r w:rsidRPr="009C10F2">
        <w:rPr>
          <w:rFonts w:cs="Calibri"/>
          <w:b/>
          <w:bCs/>
        </w:rPr>
        <w:t>ACO</w:t>
      </w:r>
      <w:r w:rsidRPr="009C10F2">
        <w:rPr>
          <w:rFonts w:cs="Calibri"/>
        </w:rPr>
        <w:t>”s</w:t>
      </w:r>
      <w:proofErr w:type="gramEnd"/>
      <w:r w:rsidRPr="009C10F2">
        <w:rPr>
          <w:rFonts w:cs="Calibri"/>
        </w:rPr>
        <w:t>) as part of the Centers for Medicare and Medicaid Services (“CMS”) Medicare Shared Savings Program, known as the Accountable Care Organization Realizing Equity, Access and Community Health (“</w:t>
      </w:r>
      <w:r w:rsidRPr="009C10F2">
        <w:rPr>
          <w:rFonts w:cs="Calibri"/>
          <w:b/>
          <w:bCs/>
        </w:rPr>
        <w:t>ACO REACH</w:t>
      </w:r>
      <w:r w:rsidRPr="009C10F2">
        <w:rPr>
          <w:rFonts w:cs="Calibri"/>
        </w:rPr>
        <w:t xml:space="preserve">”) Model and administers a variety of value-based arrangements under the CHESS clinically integrated network with certain commercial insurance carriers and governmental programs.  </w:t>
      </w:r>
      <w:r w:rsidRPr="009C10F2">
        <w:rPr>
          <w:rFonts w:cs="Calibri"/>
          <w:color w:val="000000"/>
        </w:rPr>
        <w:t xml:space="preserve">CHESS and </w:t>
      </w:r>
      <w:r w:rsidRPr="009C10F2">
        <w:rPr>
          <w:rFonts w:cs="Calibri"/>
        </w:rPr>
        <w:t xml:space="preserve">PTRC AAA desire </w:t>
      </w:r>
      <w:r w:rsidRPr="009C10F2">
        <w:rPr>
          <w:rFonts w:cs="Calibri"/>
          <w:color w:val="000000"/>
        </w:rPr>
        <w:t>to promote high quality and coordinated care for CHESS Beneficiaries who are served and/or treated by both a Value Partner and PTRC AAA by</w:t>
      </w:r>
      <w:r w:rsidRPr="009C10F2">
        <w:rPr>
          <w:rFonts w:cs="Calibri"/>
          <w:color w:val="FF0000"/>
        </w:rPr>
        <w:t>:</w:t>
      </w:r>
      <w:r w:rsidRPr="009C10F2">
        <w:rPr>
          <w:rFonts w:cs="Calibri"/>
          <w:color w:val="000000"/>
        </w:rPr>
        <w:t xml:space="preserve"> (a) agreeing to certain care coordination arrangements for the treatment of CHESS Beneficiaries as described in the agreement and/or (b) sharing certain data relating to the treatment of CHESS Beneficiaries for purposes of enrolling in community programs to enhance health, health equity, address social determinants of health and health disparities, and avoid unnecessary care.  </w:t>
      </w:r>
    </w:p>
    <w:p w14:paraId="49593D9C" w14:textId="77777777" w:rsidR="00530FD9" w:rsidRPr="009C10F2" w:rsidRDefault="00530FD9" w:rsidP="00530FD9">
      <w:pPr>
        <w:pStyle w:val="ListParagraph"/>
        <w:numPr>
          <w:ilvl w:val="1"/>
          <w:numId w:val="3"/>
        </w:numPr>
        <w:spacing w:after="0" w:line="240" w:lineRule="auto"/>
        <w:rPr>
          <w:rFonts w:cs="Calibri"/>
        </w:rPr>
      </w:pPr>
      <w:r w:rsidRPr="009C10F2">
        <w:rPr>
          <w:rFonts w:cs="Calibri"/>
          <w:bCs/>
        </w:rPr>
        <w:t xml:space="preserve">The PTRC AAA and CHESS will agree </w:t>
      </w:r>
      <w:r w:rsidRPr="009C10F2">
        <w:rPr>
          <w:rFonts w:cs="Calibri"/>
        </w:rPr>
        <w:t>to certain programs to be set forth in addenda attached to the Agreement regarding programs to make available to Value Partners and/or CHESS Beneficiaries treated and assigned to CHESS. Each addendum will be governed by the Business Associate Subcontractor Agreement by and between PTRC AAA and CHESS executed contemporaneously with this Master Agreement (the “</w:t>
      </w:r>
      <w:r w:rsidRPr="009C10F2">
        <w:rPr>
          <w:rFonts w:cs="Calibri"/>
          <w:b/>
          <w:bCs/>
        </w:rPr>
        <w:t>BAA</w:t>
      </w:r>
      <w:r w:rsidRPr="009C10F2">
        <w:rPr>
          <w:rFonts w:cs="Calibri"/>
        </w:rPr>
        <w:t>”). Each addendum shall include: (</w:t>
      </w:r>
      <w:proofErr w:type="spellStart"/>
      <w:r w:rsidRPr="009C10F2">
        <w:rPr>
          <w:rFonts w:cs="Calibri"/>
        </w:rPr>
        <w:t>i</w:t>
      </w:r>
      <w:proofErr w:type="spellEnd"/>
      <w:r w:rsidRPr="009C10F2">
        <w:rPr>
          <w:rFonts w:cs="Calibri"/>
        </w:rPr>
        <w:t xml:space="preserve">) </w:t>
      </w:r>
      <w:r w:rsidRPr="009C10F2">
        <w:rPr>
          <w:rFonts w:cs="Calibri"/>
          <w:bCs/>
        </w:rPr>
        <w:t xml:space="preserve">a description of the program, (ii) any necessary </w:t>
      </w:r>
      <w:r w:rsidRPr="009C10F2">
        <w:rPr>
          <w:rFonts w:cs="Calibri"/>
        </w:rPr>
        <w:t xml:space="preserve">data exchange specified by PTRC AAA and/or CHESS, which shall be the minimum necessary to accomplish the purposes of the applicable addendum, (iii) any necessary cost and/or payor/third party billing requirements/processes, and (iv) any other terms and conditions of the applicable program. </w:t>
      </w:r>
    </w:p>
    <w:p w14:paraId="3A399A38" w14:textId="77777777" w:rsidR="00530FD9" w:rsidRPr="009C10F2" w:rsidRDefault="00530FD9" w:rsidP="00530FD9">
      <w:pPr>
        <w:pStyle w:val="ListParagraph"/>
        <w:numPr>
          <w:ilvl w:val="1"/>
          <w:numId w:val="3"/>
        </w:numPr>
        <w:spacing w:after="0" w:line="240" w:lineRule="auto"/>
        <w:rPr>
          <w:rFonts w:cs="Calibri"/>
        </w:rPr>
      </w:pPr>
      <w:r w:rsidRPr="009C10F2">
        <w:rPr>
          <w:rFonts w:cs="Calibri"/>
        </w:rPr>
        <w:t xml:space="preserve">The first addendum is to partner on is the 2020 federal Administration for Community Living grant “Innovations in Nutrition Programs and Services-Demonstration.” The grant is made available through a contract between PTRC AAA and the North Carolina Center for Health and Wellness at UNC-Asheville.  </w:t>
      </w:r>
      <w:r w:rsidRPr="009C10F2">
        <w:rPr>
          <w:rFonts w:eastAsia="Times New Roman" w:cs="Calibri"/>
        </w:rPr>
        <w:t>The grant funds a two-part service, Diabetes education and medically-tailored meals, to older adults (60+) or disabled adults who have a diagnosis of Diabetes and are a Medicare Beneficiary.</w:t>
      </w:r>
    </w:p>
    <w:p w14:paraId="3C3634E5" w14:textId="451512A7" w:rsidR="00530FD9" w:rsidRPr="009C10F2" w:rsidRDefault="00530FD9" w:rsidP="00530FD9">
      <w:pPr>
        <w:pStyle w:val="ListParagraph"/>
        <w:numPr>
          <w:ilvl w:val="1"/>
          <w:numId w:val="3"/>
        </w:numPr>
        <w:shd w:val="clear" w:color="auto" w:fill="FFFFFF"/>
        <w:spacing w:after="0" w:line="240" w:lineRule="auto"/>
        <w:rPr>
          <w:rFonts w:eastAsia="Times New Roman" w:cs="Calibri"/>
        </w:rPr>
      </w:pPr>
      <w:r w:rsidRPr="009C10F2">
        <w:rPr>
          <w:rFonts w:eastAsia="Times New Roman" w:cs="Calibri"/>
        </w:rPr>
        <w:t xml:space="preserve">The Diabetes education program is a Medicare reimbursable service.  It is an evidence-based program that the Area Agency has been accredited to provide (one of two accredited Area Agencies on Aging in NC).  It is called Diabetes Self-Management Education and Support (DSMES).  DSMES includes topics such as monitoring blood sugar, delaying or preventing complications, talking with your healthcare provider, taking medications, discussing depression and other difficult emotions, problem-solving, decision-making, and action planning. DSMES also connects participants with a Registered Dietitian who provides Medical Nutrition Therapy during two sessions of the six-week workshop and two to three individual sessions with the participant throughout the course of the workshop. DSMES is a six-week workshop that meets once a week for 2.5 hours. It can be held virtually (Area Agency can supply 4G capable tablets on loan, if needed) or in-person. Area Agency is able to hold classes at locations that are central to the participants.  </w:t>
      </w:r>
    </w:p>
    <w:p w14:paraId="111E27BF" w14:textId="77777777" w:rsidR="00530FD9" w:rsidRPr="009C10F2" w:rsidRDefault="00530FD9" w:rsidP="00530FD9">
      <w:pPr>
        <w:pStyle w:val="ListParagraph"/>
        <w:numPr>
          <w:ilvl w:val="1"/>
          <w:numId w:val="3"/>
        </w:numPr>
        <w:shd w:val="clear" w:color="auto" w:fill="FFFFFF"/>
        <w:spacing w:after="0" w:line="240" w:lineRule="auto"/>
        <w:jc w:val="both"/>
        <w:rPr>
          <w:rFonts w:cs="Calibri"/>
        </w:rPr>
      </w:pPr>
      <w:r w:rsidRPr="009C10F2">
        <w:rPr>
          <w:rFonts w:eastAsia="Times New Roman" w:cs="Calibri"/>
        </w:rPr>
        <w:t>The medically-tailored meals component is entirely grant funded.  It allows the PTRC AAA to address food as a social determinant and driver of health.  It provides participants with up to 60 medically-tailored meals, at no cost to the participant. </w:t>
      </w:r>
      <w:r w:rsidRPr="009C10F2">
        <w:rPr>
          <w:rFonts w:cs="Calibri"/>
        </w:rPr>
        <w:t>Eligible participants shall be 60+, covered by Medicare, residents of Guilford and Forsyth counties, aligned with/treated by a CHESS provider, and have an A1C greater than 8.</w:t>
      </w:r>
    </w:p>
    <w:p w14:paraId="6A389D69" w14:textId="7305320E" w:rsidR="00530FD9" w:rsidRPr="009C10F2" w:rsidRDefault="00530FD9" w:rsidP="00530FD9">
      <w:pPr>
        <w:pStyle w:val="ListParagraph"/>
        <w:numPr>
          <w:ilvl w:val="1"/>
          <w:numId w:val="3"/>
        </w:numPr>
        <w:spacing w:after="0" w:line="240" w:lineRule="auto"/>
        <w:rPr>
          <w:rFonts w:cs="Calibri"/>
          <w:b/>
          <w:bCs/>
        </w:rPr>
      </w:pPr>
      <w:r w:rsidRPr="009C10F2">
        <w:rPr>
          <w:rFonts w:cs="Calibri"/>
        </w:rPr>
        <w:t xml:space="preserve">The term of this Addendum is the effective date of the Addendum through August 30, 2023, the end date of the 2020 Innovations in Nutrition Programs and Services Demonstration grant. The </w:t>
      </w:r>
      <w:r w:rsidRPr="009C10F2">
        <w:rPr>
          <w:rFonts w:cs="Calibri"/>
        </w:rPr>
        <w:lastRenderedPageBreak/>
        <w:t>Parties may extend this Addendum for a period to be agreed-upon up to twelve months, subject to the availability of unspent grant funds.</w:t>
      </w:r>
    </w:p>
    <w:p w14:paraId="71E9C6D8" w14:textId="77777777" w:rsidR="00C268B4" w:rsidRPr="009C10F2" w:rsidRDefault="00C268B4" w:rsidP="00E91209">
      <w:pPr>
        <w:pStyle w:val="ListParagraph"/>
        <w:spacing w:after="200" w:line="240" w:lineRule="auto"/>
        <w:rPr>
          <w:rFonts w:eastAsia="Times New Roman" w:cstheme="minorHAnsi"/>
        </w:rPr>
      </w:pPr>
    </w:p>
    <w:p w14:paraId="56B7EA70" w14:textId="307C0801" w:rsidR="00DA2E6E" w:rsidRPr="009C10F2" w:rsidRDefault="00DA2E6E" w:rsidP="00DA2E6E">
      <w:pPr>
        <w:pStyle w:val="ListParagraph"/>
        <w:numPr>
          <w:ilvl w:val="0"/>
          <w:numId w:val="3"/>
        </w:numPr>
        <w:rPr>
          <w:rFonts w:eastAsia="Times New Roman" w:cstheme="minorHAnsi"/>
          <w:b/>
        </w:rPr>
      </w:pPr>
      <w:r w:rsidRPr="009C10F2">
        <w:rPr>
          <w:rFonts w:eastAsia="Times New Roman" w:cstheme="minorHAnsi"/>
          <w:b/>
        </w:rPr>
        <w:t xml:space="preserve">Action Item: Request for </w:t>
      </w:r>
      <w:r w:rsidR="00530FD9" w:rsidRPr="009C10F2">
        <w:rPr>
          <w:rFonts w:eastAsia="Times New Roman" w:cstheme="minorHAnsi"/>
          <w:b/>
        </w:rPr>
        <w:t>approval to enter into a contract providing an annexation study and economic analysis from February 2023 to March 31, 2023, to the Town of Mount Gilead for $9,450</w:t>
      </w:r>
      <w:r w:rsidRPr="009C10F2">
        <w:rPr>
          <w:rFonts w:eastAsia="Times New Roman" w:cstheme="minorHAnsi"/>
          <w:b/>
        </w:rPr>
        <w:t>), M</w:t>
      </w:r>
      <w:r w:rsidR="00530FD9" w:rsidRPr="009C10F2">
        <w:rPr>
          <w:rFonts w:eastAsia="Times New Roman" w:cstheme="minorHAnsi"/>
          <w:b/>
        </w:rPr>
        <w:t>r</w:t>
      </w:r>
      <w:r w:rsidRPr="009C10F2">
        <w:rPr>
          <w:rFonts w:eastAsia="Times New Roman" w:cstheme="minorHAnsi"/>
          <w:b/>
        </w:rPr>
        <w:t xml:space="preserve">. </w:t>
      </w:r>
      <w:r w:rsidR="00530FD9" w:rsidRPr="009C10F2">
        <w:rPr>
          <w:rFonts w:eastAsia="Times New Roman" w:cstheme="minorHAnsi"/>
          <w:b/>
        </w:rPr>
        <w:t>Adam Shull, Regional Planning Assistant Director</w:t>
      </w:r>
    </w:p>
    <w:p w14:paraId="41ED77F8" w14:textId="77777777" w:rsidR="00530FD9" w:rsidRPr="009C10F2" w:rsidRDefault="00530FD9" w:rsidP="00530FD9">
      <w:pPr>
        <w:pStyle w:val="ListParagraph"/>
        <w:numPr>
          <w:ilvl w:val="1"/>
          <w:numId w:val="3"/>
        </w:numPr>
        <w:rPr>
          <w:rFonts w:eastAsia="Times New Roman" w:cstheme="minorHAnsi"/>
        </w:rPr>
      </w:pPr>
      <w:r w:rsidRPr="009C10F2">
        <w:rPr>
          <w:rFonts w:eastAsia="Times New Roman" w:cstheme="minorHAnsi"/>
        </w:rPr>
        <w:t xml:space="preserve">The Regional Planning Department requests to enter into contract with the Town of Mount Gilead to provide an annexation study and economic analysis related to potential residential, commercial and retail development. The town requests assistance in analyzing potential costs (increased police service, garbage collection, street maintenance, etc.) and revenues (property tax, sales tax, state shared revenues, etc.) of providing services to a sizeable development.  </w:t>
      </w:r>
    </w:p>
    <w:p w14:paraId="2E961F26" w14:textId="15BA6F4A" w:rsidR="00530FD9" w:rsidRPr="009C10F2" w:rsidRDefault="00530FD9" w:rsidP="00530FD9">
      <w:pPr>
        <w:pStyle w:val="ListParagraph"/>
        <w:numPr>
          <w:ilvl w:val="1"/>
          <w:numId w:val="3"/>
        </w:numPr>
        <w:rPr>
          <w:rFonts w:eastAsia="Times New Roman" w:cstheme="minorHAnsi"/>
        </w:rPr>
      </w:pPr>
      <w:r w:rsidRPr="009C10F2">
        <w:rPr>
          <w:rFonts w:eastAsia="Times New Roman" w:cstheme="minorHAnsi"/>
        </w:rPr>
        <w:t>The contract includes a fiscal analysis, in-person meetings with town staff and stakeholders, time allotted to report writing and board presentation. A final report and presentation will be no later than March 31, 2023, to inform decisions by the town’s council and planning board in April.</w:t>
      </w:r>
    </w:p>
    <w:p w14:paraId="2D125AF1" w14:textId="77777777" w:rsidR="00530FD9" w:rsidRPr="009C10F2" w:rsidRDefault="00530FD9" w:rsidP="00530FD9">
      <w:pPr>
        <w:pStyle w:val="ListParagraph"/>
        <w:rPr>
          <w:rFonts w:eastAsia="Times New Roman" w:cstheme="minorHAnsi"/>
        </w:rPr>
      </w:pPr>
    </w:p>
    <w:p w14:paraId="5625A8C4" w14:textId="77777777" w:rsidR="00530FD9" w:rsidRPr="009C10F2" w:rsidRDefault="00B6011D" w:rsidP="00530FD9">
      <w:pPr>
        <w:pStyle w:val="ListParagraph"/>
        <w:numPr>
          <w:ilvl w:val="0"/>
          <w:numId w:val="3"/>
        </w:numPr>
        <w:rPr>
          <w:rFonts w:eastAsia="Times New Roman" w:cstheme="minorHAnsi"/>
        </w:rPr>
      </w:pPr>
      <w:r w:rsidRPr="009C10F2">
        <w:rPr>
          <w:rFonts w:eastAsia="Times New Roman" w:cstheme="minorHAnsi"/>
          <w:b/>
        </w:rPr>
        <w:t>Action Item: Request for authorization</w:t>
      </w:r>
      <w:r w:rsidR="00530FD9" w:rsidRPr="009C10F2">
        <w:rPr>
          <w:rFonts w:eastAsia="Times New Roman" w:cstheme="minorHAnsi"/>
          <w:b/>
        </w:rPr>
        <w:t xml:space="preserve"> to begin an immigration sponsorship program</w:t>
      </w:r>
      <w:r w:rsidRPr="009C10F2">
        <w:rPr>
          <w:rFonts w:eastAsia="Times New Roman" w:cstheme="minorHAnsi"/>
          <w:b/>
        </w:rPr>
        <w:t>, M</w:t>
      </w:r>
      <w:r w:rsidR="00530FD9" w:rsidRPr="009C10F2">
        <w:rPr>
          <w:rFonts w:eastAsia="Times New Roman" w:cstheme="minorHAnsi"/>
          <w:b/>
        </w:rPr>
        <w:t>r</w:t>
      </w:r>
      <w:r w:rsidRPr="009C10F2">
        <w:rPr>
          <w:rFonts w:eastAsia="Times New Roman" w:cstheme="minorHAnsi"/>
          <w:b/>
        </w:rPr>
        <w:t xml:space="preserve">. </w:t>
      </w:r>
      <w:r w:rsidR="00530FD9" w:rsidRPr="009C10F2">
        <w:rPr>
          <w:rFonts w:eastAsia="Times New Roman" w:cstheme="minorHAnsi"/>
          <w:b/>
        </w:rPr>
        <w:t>Matt Reece, Assistant Director</w:t>
      </w:r>
    </w:p>
    <w:p w14:paraId="3A819040" w14:textId="5A284681" w:rsidR="00530FD9" w:rsidRPr="009C10F2" w:rsidRDefault="00530FD9" w:rsidP="00530FD9">
      <w:pPr>
        <w:pStyle w:val="ListParagraph"/>
        <w:numPr>
          <w:ilvl w:val="1"/>
          <w:numId w:val="3"/>
        </w:numPr>
        <w:rPr>
          <w:rFonts w:eastAsia="Times New Roman" w:cstheme="minorHAnsi"/>
        </w:rPr>
      </w:pPr>
      <w:r w:rsidRPr="009C10F2">
        <w:rPr>
          <w:rFonts w:eastAsia="Times New Roman" w:cs="Calibri"/>
        </w:rPr>
        <w:t xml:space="preserve">PTRC is seeking approval to begin an immigration sponsorship program.  The current challenges of the labor market have meant that previously untapped sources of talent need to be explored.  The background to this request is that a UNCG MPA student interned with us last year.  Reem Al Raiisi worked for a few months as an Administrative Intern and exceeded our performance expectations.  Reem was able to assume the duties of our HR Analyst when a vacancy suddenly occurred.  The former HR Analyst was able to start orienting Reem immediately during her resignation notice period. Reem’s immigration status is F-1, a student visa, with a work certification.  The expectation at the time was extension of the work certification available through US Citizenship and Immigration Services’ (USCIS) STEM employment pathway.  Since that time PTRC has learned that advanced degrees in Public Administration do not meet the USCIS STEM employment definition.  </w:t>
      </w:r>
    </w:p>
    <w:p w14:paraId="3BC2F797" w14:textId="77777777" w:rsidR="00530FD9" w:rsidRPr="009C10F2" w:rsidRDefault="00530FD9" w:rsidP="00530FD9">
      <w:pPr>
        <w:pStyle w:val="ListParagraph"/>
        <w:numPr>
          <w:ilvl w:val="1"/>
          <w:numId w:val="3"/>
        </w:numPr>
        <w:shd w:val="clear" w:color="auto" w:fill="FFFFFF"/>
        <w:spacing w:after="0" w:line="240" w:lineRule="auto"/>
        <w:textAlignment w:val="baseline"/>
        <w:rPr>
          <w:rFonts w:eastAsia="Times New Roman" w:cs="Calibri"/>
        </w:rPr>
      </w:pPr>
      <w:r w:rsidRPr="009C10F2">
        <w:rPr>
          <w:rFonts w:eastAsia="Times New Roman" w:cs="Calibri"/>
        </w:rPr>
        <w:t xml:space="preserve">Therefore, PTRC’s is seeking to sponsor Reem’s visa application to an H-1B work visa. There is a cost to this process for legal fees and USCIS fees of $9,960.  PTRC proposes the attached H-1B visa petitioner / sponsor to beneficiary support agreement.  The agreement provides PTRC to pay these fees in exchange for a repayment through commitment of service over four years.  See the attached agreement for details. The sponsorship agreement is similar and based upon what counties and municipalities have used for decades when sponsoring cadets in public safety programs. </w:t>
      </w:r>
    </w:p>
    <w:p w14:paraId="2B1D079D" w14:textId="77777777" w:rsidR="00530FD9" w:rsidRPr="009C10F2" w:rsidRDefault="00530FD9" w:rsidP="00530FD9">
      <w:pPr>
        <w:pStyle w:val="ListParagraph"/>
        <w:numPr>
          <w:ilvl w:val="1"/>
          <w:numId w:val="3"/>
        </w:numPr>
        <w:shd w:val="clear" w:color="auto" w:fill="FFFFFF"/>
        <w:spacing w:after="0" w:line="240" w:lineRule="auto"/>
        <w:textAlignment w:val="baseline"/>
        <w:rPr>
          <w:rFonts w:eastAsia="Times New Roman" w:cs="Calibri"/>
        </w:rPr>
      </w:pPr>
      <w:r w:rsidRPr="009C10F2">
        <w:rPr>
          <w:rFonts w:eastAsia="Times New Roman" w:cs="Calibri"/>
        </w:rPr>
        <w:t>PTRC would make this program available in the future when the following circumstances occur:</w:t>
      </w:r>
    </w:p>
    <w:p w14:paraId="50A93512" w14:textId="77777777" w:rsidR="00530FD9" w:rsidRPr="009C10F2" w:rsidRDefault="00530FD9" w:rsidP="00530FD9">
      <w:pPr>
        <w:pStyle w:val="ListParagraph"/>
        <w:numPr>
          <w:ilvl w:val="2"/>
          <w:numId w:val="3"/>
        </w:numPr>
        <w:shd w:val="clear" w:color="auto" w:fill="FFFFFF"/>
        <w:spacing w:after="0" w:line="240" w:lineRule="auto"/>
        <w:textAlignment w:val="baseline"/>
        <w:rPr>
          <w:rFonts w:eastAsia="Times New Roman" w:cs="Calibri"/>
        </w:rPr>
      </w:pPr>
      <w:r w:rsidRPr="009C10F2">
        <w:rPr>
          <w:rFonts w:eastAsia="Times New Roman" w:cs="Calibri"/>
        </w:rPr>
        <w:t>A foreign national has already established visa status and is seeking to extend that status,</w:t>
      </w:r>
    </w:p>
    <w:p w14:paraId="572CD999" w14:textId="77777777" w:rsidR="00530FD9" w:rsidRPr="009C10F2" w:rsidRDefault="00530FD9" w:rsidP="00530FD9">
      <w:pPr>
        <w:pStyle w:val="ListParagraph"/>
        <w:numPr>
          <w:ilvl w:val="2"/>
          <w:numId w:val="3"/>
        </w:numPr>
        <w:shd w:val="clear" w:color="auto" w:fill="FFFFFF"/>
        <w:spacing w:after="0" w:line="240" w:lineRule="auto"/>
        <w:textAlignment w:val="baseline"/>
        <w:rPr>
          <w:rFonts w:eastAsia="Times New Roman" w:cs="Calibri"/>
        </w:rPr>
      </w:pPr>
      <w:r w:rsidRPr="009C10F2">
        <w:rPr>
          <w:rFonts w:eastAsia="Times New Roman" w:cs="Calibri"/>
        </w:rPr>
        <w:t>the worker has a specialized set of knowledge, skills, and abilities not easily sourced in the labor market,</w:t>
      </w:r>
    </w:p>
    <w:p w14:paraId="6072958F" w14:textId="77777777" w:rsidR="00530FD9" w:rsidRPr="009C10F2" w:rsidRDefault="00530FD9" w:rsidP="00530FD9">
      <w:pPr>
        <w:pStyle w:val="ListParagraph"/>
        <w:numPr>
          <w:ilvl w:val="2"/>
          <w:numId w:val="3"/>
        </w:numPr>
        <w:shd w:val="clear" w:color="auto" w:fill="FFFFFF"/>
        <w:spacing w:after="0" w:line="240" w:lineRule="auto"/>
        <w:textAlignment w:val="baseline"/>
        <w:rPr>
          <w:rFonts w:eastAsia="Times New Roman" w:cs="Calibri"/>
        </w:rPr>
      </w:pPr>
      <w:r w:rsidRPr="009C10F2">
        <w:rPr>
          <w:rFonts w:eastAsia="Times New Roman" w:cs="Calibri"/>
        </w:rPr>
        <w:t>the worker has a proven track record of job performance either through PTRC or a member government, and</w:t>
      </w:r>
    </w:p>
    <w:p w14:paraId="235B84D0" w14:textId="2AE227F7" w:rsidR="00530FD9" w:rsidRPr="009C10F2" w:rsidRDefault="00530FD9" w:rsidP="00530FD9">
      <w:pPr>
        <w:pStyle w:val="ListParagraph"/>
        <w:numPr>
          <w:ilvl w:val="2"/>
          <w:numId w:val="3"/>
        </w:numPr>
        <w:shd w:val="clear" w:color="auto" w:fill="FFFFFF"/>
        <w:spacing w:after="0" w:line="240" w:lineRule="auto"/>
        <w:textAlignment w:val="baseline"/>
        <w:rPr>
          <w:rFonts w:eastAsia="Times New Roman" w:cs="Calibri"/>
        </w:rPr>
      </w:pPr>
      <w:r w:rsidRPr="009C10F2">
        <w:rPr>
          <w:rFonts w:eastAsia="Times New Roman" w:cs="Calibri"/>
        </w:rPr>
        <w:t xml:space="preserve">the worker is willing to accept the terms of the visa petitioner / sponsor to beneficiary support agreement. </w:t>
      </w:r>
    </w:p>
    <w:p w14:paraId="1D799D1B" w14:textId="403782DE" w:rsidR="004A2DC0" w:rsidRPr="009C10F2" w:rsidRDefault="00530FD9" w:rsidP="00530FD9">
      <w:pPr>
        <w:pStyle w:val="ListParagraph"/>
        <w:numPr>
          <w:ilvl w:val="1"/>
          <w:numId w:val="3"/>
        </w:numPr>
        <w:spacing w:after="200" w:line="240" w:lineRule="auto"/>
        <w:rPr>
          <w:rFonts w:eastAsia="Times New Roman" w:cstheme="minorHAnsi"/>
        </w:rPr>
      </w:pPr>
      <w:r w:rsidRPr="009C10F2">
        <w:rPr>
          <w:rFonts w:eastAsia="Times New Roman" w:cs="Calibri"/>
        </w:rPr>
        <w:t>The Executive Director concurs and recommends this program for approval. PTRC has available funds to pay for the legal fees and USCIS fees through the administration budget</w:t>
      </w:r>
    </w:p>
    <w:p w14:paraId="2CA454AB" w14:textId="3757BFFF" w:rsidR="00530FD9" w:rsidRDefault="00530FD9" w:rsidP="00530FD9">
      <w:pPr>
        <w:pStyle w:val="ListParagraph"/>
        <w:spacing w:after="200" w:line="240" w:lineRule="auto"/>
        <w:rPr>
          <w:rFonts w:eastAsia="Times New Roman" w:cstheme="minorHAnsi"/>
        </w:rPr>
      </w:pPr>
    </w:p>
    <w:p w14:paraId="3C6D6996" w14:textId="4C787210" w:rsidR="003B54C1" w:rsidRDefault="003B54C1" w:rsidP="00530FD9">
      <w:pPr>
        <w:pStyle w:val="ListParagraph"/>
        <w:spacing w:after="200" w:line="240" w:lineRule="auto"/>
        <w:rPr>
          <w:rFonts w:eastAsia="Times New Roman" w:cstheme="minorHAnsi"/>
        </w:rPr>
      </w:pPr>
    </w:p>
    <w:p w14:paraId="43BCB018" w14:textId="77777777" w:rsidR="003B54C1" w:rsidRPr="009C10F2" w:rsidRDefault="003B54C1" w:rsidP="00530FD9">
      <w:pPr>
        <w:pStyle w:val="ListParagraph"/>
        <w:spacing w:after="200" w:line="240" w:lineRule="auto"/>
        <w:rPr>
          <w:rFonts w:eastAsia="Times New Roman" w:cstheme="minorHAnsi"/>
        </w:rPr>
      </w:pPr>
    </w:p>
    <w:p w14:paraId="6EBE3AB0" w14:textId="146B3689" w:rsidR="00D0503E" w:rsidRPr="009C10F2" w:rsidRDefault="009C10F2" w:rsidP="00C5041F">
      <w:pPr>
        <w:pStyle w:val="ListParagraph"/>
        <w:numPr>
          <w:ilvl w:val="0"/>
          <w:numId w:val="3"/>
        </w:numPr>
        <w:spacing w:after="200" w:line="240" w:lineRule="auto"/>
        <w:rPr>
          <w:rFonts w:cstheme="minorHAnsi"/>
          <w:b/>
        </w:rPr>
      </w:pPr>
      <w:r w:rsidRPr="009C10F2">
        <w:rPr>
          <w:rFonts w:cstheme="minorHAnsi"/>
          <w:b/>
        </w:rPr>
        <w:t xml:space="preserve">New Business: </w:t>
      </w:r>
      <w:r w:rsidR="00D0503E" w:rsidRPr="009C10F2">
        <w:rPr>
          <w:rFonts w:cstheme="minorHAnsi"/>
          <w:b/>
        </w:rPr>
        <w:t>Audit Committee Report</w:t>
      </w:r>
      <w:r w:rsidRPr="009C10F2">
        <w:rPr>
          <w:rFonts w:cstheme="minorHAnsi"/>
          <w:b/>
        </w:rPr>
        <w:t>, Mr.</w:t>
      </w:r>
      <w:r w:rsidR="00D0503E" w:rsidRPr="009C10F2">
        <w:rPr>
          <w:rFonts w:cstheme="minorHAnsi"/>
          <w:b/>
        </w:rPr>
        <w:t xml:space="preserve"> Jarrod Hand</w:t>
      </w:r>
      <w:r w:rsidRPr="009C10F2">
        <w:rPr>
          <w:rFonts w:cstheme="minorHAnsi"/>
          <w:b/>
        </w:rPr>
        <w:t>, Finance Director</w:t>
      </w:r>
    </w:p>
    <w:p w14:paraId="00EE5C2C" w14:textId="77777777" w:rsidR="009C10F2" w:rsidRPr="009C10F2" w:rsidRDefault="009C10F2" w:rsidP="00D0503E">
      <w:pPr>
        <w:pStyle w:val="ListParagraph"/>
        <w:numPr>
          <w:ilvl w:val="1"/>
          <w:numId w:val="3"/>
        </w:numPr>
        <w:spacing w:after="200" w:line="240" w:lineRule="auto"/>
        <w:rPr>
          <w:rFonts w:cstheme="minorHAnsi"/>
        </w:rPr>
      </w:pPr>
      <w:r w:rsidRPr="009C10F2">
        <w:rPr>
          <w:rFonts w:cstheme="minorHAnsi"/>
        </w:rPr>
        <w:t>Ch</w:t>
      </w:r>
      <w:r w:rsidR="00D0503E" w:rsidRPr="009C10F2">
        <w:rPr>
          <w:rFonts w:cstheme="minorHAnsi"/>
        </w:rPr>
        <w:t>erry</w:t>
      </w:r>
      <w:r w:rsidRPr="009C10F2">
        <w:rPr>
          <w:rFonts w:cstheme="minorHAnsi"/>
        </w:rPr>
        <w:t xml:space="preserve"> </w:t>
      </w:r>
      <w:proofErr w:type="spellStart"/>
      <w:r w:rsidRPr="009C10F2">
        <w:rPr>
          <w:rFonts w:cstheme="minorHAnsi"/>
        </w:rPr>
        <w:t>Bakaert</w:t>
      </w:r>
      <w:proofErr w:type="spellEnd"/>
      <w:r w:rsidRPr="009C10F2">
        <w:rPr>
          <w:rFonts w:cstheme="minorHAnsi"/>
        </w:rPr>
        <w:t xml:space="preserve"> declined to do our Audit for this year. We put out an RFP and had one firm put in a bid. Three firms declined. Many larger firms are getting rid of their smaller accounts while small firms are getting out of the government field. That doesn’t leave many options. </w:t>
      </w:r>
    </w:p>
    <w:p w14:paraId="594D7E7C" w14:textId="6D6DF7E1"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 xml:space="preserve">We are making the recommendation to move forward with a contract with Thompson Price for our Audit. </w:t>
      </w:r>
      <w:r w:rsidR="00D0503E" w:rsidRPr="009C10F2">
        <w:rPr>
          <w:rFonts w:cstheme="minorHAnsi"/>
        </w:rPr>
        <w:t xml:space="preserve"> </w:t>
      </w:r>
      <w:r w:rsidRPr="009C10F2">
        <w:rPr>
          <w:rFonts w:cstheme="minorHAnsi"/>
        </w:rPr>
        <w:t xml:space="preserve">If approved, this will be a three-year contract that will renew every year. </w:t>
      </w:r>
    </w:p>
    <w:p w14:paraId="2ECB7557" w14:textId="4DD4866B"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 xml:space="preserve">The Audit Committee met prior to this meeting and approves of this recommendation. </w:t>
      </w:r>
    </w:p>
    <w:p w14:paraId="6D358AB7" w14:textId="77777777" w:rsidR="009C10F2" w:rsidRPr="009C10F2" w:rsidRDefault="009C10F2" w:rsidP="009C10F2">
      <w:pPr>
        <w:pStyle w:val="ListParagraph"/>
        <w:spacing w:after="200" w:line="240" w:lineRule="auto"/>
        <w:rPr>
          <w:rFonts w:cstheme="minorHAnsi"/>
        </w:rPr>
      </w:pPr>
    </w:p>
    <w:p w14:paraId="40F08EE3" w14:textId="439F2086" w:rsidR="00D0503E" w:rsidRPr="009C10F2" w:rsidRDefault="00D0503E" w:rsidP="00D0503E">
      <w:pPr>
        <w:pStyle w:val="ListParagraph"/>
        <w:numPr>
          <w:ilvl w:val="0"/>
          <w:numId w:val="3"/>
        </w:numPr>
        <w:spacing w:after="200" w:line="240" w:lineRule="auto"/>
        <w:rPr>
          <w:rFonts w:cstheme="minorHAnsi"/>
          <w:b/>
        </w:rPr>
      </w:pPr>
      <w:r w:rsidRPr="009C10F2">
        <w:rPr>
          <w:rFonts w:cstheme="minorHAnsi"/>
          <w:b/>
        </w:rPr>
        <w:t xml:space="preserve">New Business: </w:t>
      </w:r>
      <w:r w:rsidR="009C10F2" w:rsidRPr="009C10F2">
        <w:rPr>
          <w:rFonts w:cstheme="minorHAnsi"/>
          <w:b/>
        </w:rPr>
        <w:t>Request to authorize staff, if awarded RAISE Grant funding to receive $10,471,104 in funds from the US Dept. of Transportation and administer the allocation of said funds towards the engineering, design, construction and capital costs of the Elkin-Jonesville Bicycle and Pedestrian Bridge, Mr. Jesse Day, Regional Planning Director</w:t>
      </w:r>
    </w:p>
    <w:p w14:paraId="4AAF920A" w14:textId="0DF60CEB"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The PTRC planning department has applied for a $10,471,104 grant through the United States Department of Transportation for the construction of a pedestrian and bicycle bridge across the Yadkin River, connecting the towns of Elkin and Jonesville. Total project costs are estimated at $13,088,880.</w:t>
      </w:r>
    </w:p>
    <w:p w14:paraId="28996F4A" w14:textId="77777777"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The Rebuilding American Infrastructure with Sustainability and Equity, or RAISE Discretionary Grant program, provides a unique opportunity for the DOT to invest in road, rail, transit and port projects that promise to achieve national objectives. Previously known as the Better Utilizing Investments to Leverage Development (BUILD) and Transportation Investment Generating Economic Recovery (TIGER) Discretionary Grants, Congress has dedicated nearly $12.1 billion for fourteen rounds of National Infrastructure Investments to fund projects that have a significant local or regional impact.</w:t>
      </w:r>
    </w:p>
    <w:p w14:paraId="214F1FC3" w14:textId="77777777"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USDOT has at least $2.275 billion in funding available for the FY 2023 RAISE Grant Program. Grants are for investments in surface transportation that will have significant local or regional impact. The Department seeks to award projects that improve equity and environmental justice by addressing transportation related disparities and climate change related consequences. The Department also seeks to fund projects that, to the extent possible, target at least 40 percent of resources and benefits towards low-income communities, disadvantaged communities, communities underserved by affordable transportation, or overburdened communities. Not more than 50% of the respective funding for RAISE grants shall be awarded to either Rural or Urban projects. Additionally, USDOT must award at least $35 million for projects located in historically disadvantaged communities or areas of persistent poverty. Projects located in rural areas, historically disadvantaged communities, or areas of persistent poverty are eligible to have more than 80% of funding from Federal Government sources.</w:t>
      </w:r>
    </w:p>
    <w:p w14:paraId="335A5648" w14:textId="738236F5" w:rsidR="009C10F2" w:rsidRPr="009C10F2" w:rsidRDefault="009C10F2" w:rsidP="009C10F2">
      <w:pPr>
        <w:pStyle w:val="ListParagraph"/>
        <w:numPr>
          <w:ilvl w:val="1"/>
          <w:numId w:val="3"/>
        </w:numPr>
        <w:spacing w:after="200" w:line="240" w:lineRule="auto"/>
        <w:rPr>
          <w:rFonts w:cstheme="minorHAnsi"/>
        </w:rPr>
      </w:pPr>
      <w:r w:rsidRPr="009C10F2">
        <w:rPr>
          <w:rFonts w:cstheme="minorHAnsi"/>
        </w:rPr>
        <w:t>PTRC’s planning department has applied for $10,471,104 of RAISE funding for the construction of a new bicycle and pedestrian bridge crossing the Yadkin River between Elkin and Jonesville. There currently exists one non-interstate connection between the two towns, the Gwyn McNeill Bridge on US-21 Business, which is not suitable for bicycle or pedestrian traffic. The proposed bridge will sit at the site of the former Hugh Chatham Memorial Bridge which previously connected the two towns. Innovative bridge design will minimize environmental impact to the River and surrounding area and promote a more resilient and equitable transportation network. Additionally, the bridge and the new transportation connections it creates will be strong drivers for economic development in both communities.</w:t>
      </w:r>
    </w:p>
    <w:p w14:paraId="6AEA49B7" w14:textId="2230305A" w:rsidR="00D0503E" w:rsidRPr="009C10F2" w:rsidRDefault="009C10F2" w:rsidP="00D0503E">
      <w:pPr>
        <w:pStyle w:val="ListParagraph"/>
        <w:numPr>
          <w:ilvl w:val="1"/>
          <w:numId w:val="3"/>
        </w:numPr>
        <w:spacing w:after="200" w:line="240" w:lineRule="auto"/>
        <w:rPr>
          <w:rFonts w:cstheme="minorHAnsi"/>
        </w:rPr>
      </w:pPr>
      <w:r w:rsidRPr="009C10F2">
        <w:rPr>
          <w:rFonts w:cstheme="minorHAnsi"/>
        </w:rPr>
        <w:t xml:space="preserve">Mr. </w:t>
      </w:r>
      <w:r w:rsidR="00D0503E" w:rsidRPr="009C10F2">
        <w:rPr>
          <w:rFonts w:cstheme="minorHAnsi"/>
        </w:rPr>
        <w:t>Darrell</w:t>
      </w:r>
      <w:r w:rsidRPr="009C10F2">
        <w:rPr>
          <w:rFonts w:cstheme="minorHAnsi"/>
        </w:rPr>
        <w:t xml:space="preserve"> Frye asks who funds the other half of this project. Mr. Day responded that Elkin and Jonesville have committed to seeing this project through. </w:t>
      </w:r>
      <w:r w:rsidR="00D0503E" w:rsidRPr="009C10F2">
        <w:rPr>
          <w:rFonts w:cstheme="minorHAnsi"/>
        </w:rPr>
        <w:t xml:space="preserve"> </w:t>
      </w:r>
    </w:p>
    <w:p w14:paraId="1583210D" w14:textId="38BC7238" w:rsidR="009C10F2" w:rsidRDefault="009C10F2" w:rsidP="009C10F2">
      <w:pPr>
        <w:pStyle w:val="ListParagraph"/>
        <w:spacing w:after="200" w:line="240" w:lineRule="auto"/>
        <w:ind w:left="360"/>
        <w:rPr>
          <w:rFonts w:cstheme="minorHAnsi"/>
        </w:rPr>
      </w:pPr>
    </w:p>
    <w:p w14:paraId="30769E98" w14:textId="77777777" w:rsidR="003B54C1" w:rsidRPr="009C10F2" w:rsidRDefault="003B54C1" w:rsidP="009C10F2">
      <w:pPr>
        <w:pStyle w:val="ListParagraph"/>
        <w:spacing w:after="200" w:line="240" w:lineRule="auto"/>
        <w:ind w:left="360"/>
        <w:rPr>
          <w:rFonts w:cstheme="minorHAnsi"/>
        </w:rPr>
      </w:pPr>
    </w:p>
    <w:p w14:paraId="39A89044" w14:textId="50BBF07C" w:rsidR="001678E9" w:rsidRPr="009C10F2" w:rsidRDefault="001678E9" w:rsidP="00C5041F">
      <w:pPr>
        <w:pStyle w:val="ListParagraph"/>
        <w:numPr>
          <w:ilvl w:val="0"/>
          <w:numId w:val="3"/>
        </w:numPr>
        <w:spacing w:after="200" w:line="240" w:lineRule="auto"/>
        <w:rPr>
          <w:rFonts w:cstheme="minorHAnsi"/>
        </w:rPr>
      </w:pPr>
      <w:r w:rsidRPr="009C10F2">
        <w:rPr>
          <w:rFonts w:cstheme="minorHAnsi"/>
          <w:b/>
        </w:rPr>
        <w:t xml:space="preserve">Roll Call vote for the </w:t>
      </w:r>
      <w:r w:rsidR="00D01511" w:rsidRPr="009C10F2">
        <w:rPr>
          <w:rFonts w:cstheme="minorHAnsi"/>
          <w:b/>
        </w:rPr>
        <w:t>a</w:t>
      </w:r>
      <w:r w:rsidRPr="009C10F2">
        <w:rPr>
          <w:rFonts w:cstheme="minorHAnsi"/>
          <w:b/>
        </w:rPr>
        <w:t>bove-mentioned Action Items 1-</w:t>
      </w:r>
      <w:r w:rsidR="009C10F2" w:rsidRPr="009C10F2">
        <w:rPr>
          <w:rFonts w:cstheme="minorHAnsi"/>
          <w:b/>
        </w:rPr>
        <w:t>11</w:t>
      </w:r>
    </w:p>
    <w:p w14:paraId="12B34E68" w14:textId="6878BD15" w:rsidR="001678E9" w:rsidRPr="009C10F2" w:rsidRDefault="001678E9" w:rsidP="00C5041F">
      <w:pPr>
        <w:pStyle w:val="ListParagraph"/>
        <w:numPr>
          <w:ilvl w:val="1"/>
          <w:numId w:val="3"/>
        </w:numPr>
        <w:spacing w:after="200" w:line="240" w:lineRule="auto"/>
        <w:rPr>
          <w:rFonts w:cstheme="minorHAnsi"/>
        </w:rPr>
      </w:pPr>
      <w:r w:rsidRPr="009C10F2">
        <w:rPr>
          <w:rFonts w:cstheme="minorHAnsi"/>
        </w:rPr>
        <w:t>A motion was made by M</w:t>
      </w:r>
      <w:r w:rsidR="0017707B" w:rsidRPr="009C10F2">
        <w:rPr>
          <w:rFonts w:cstheme="minorHAnsi"/>
        </w:rPr>
        <w:t xml:space="preserve">r. </w:t>
      </w:r>
      <w:r w:rsidR="009C10F2" w:rsidRPr="009C10F2">
        <w:rPr>
          <w:rFonts w:cstheme="minorHAnsi"/>
        </w:rPr>
        <w:t>Rick Cross.</w:t>
      </w:r>
    </w:p>
    <w:p w14:paraId="03D3AD1F" w14:textId="215EE9A1" w:rsidR="001678E9" w:rsidRPr="009C10F2" w:rsidRDefault="001678E9" w:rsidP="00C5041F">
      <w:pPr>
        <w:pStyle w:val="ListParagraph"/>
        <w:numPr>
          <w:ilvl w:val="1"/>
          <w:numId w:val="3"/>
        </w:numPr>
        <w:spacing w:after="200" w:line="240" w:lineRule="auto"/>
        <w:rPr>
          <w:rFonts w:cstheme="minorHAnsi"/>
        </w:rPr>
      </w:pPr>
      <w:r w:rsidRPr="009C10F2">
        <w:rPr>
          <w:rFonts w:cstheme="minorHAnsi"/>
        </w:rPr>
        <w:t>The motion was seconded by M</w:t>
      </w:r>
      <w:r w:rsidR="0017707B" w:rsidRPr="009C10F2">
        <w:rPr>
          <w:rFonts w:cstheme="minorHAnsi"/>
        </w:rPr>
        <w:t xml:space="preserve">r. </w:t>
      </w:r>
      <w:r w:rsidR="009C10F2" w:rsidRPr="009C10F2">
        <w:rPr>
          <w:rFonts w:cstheme="minorHAnsi"/>
        </w:rPr>
        <w:t xml:space="preserve">Mark Richardson. </w:t>
      </w:r>
    </w:p>
    <w:p w14:paraId="6AA540B9" w14:textId="5BD96836" w:rsidR="001678E9" w:rsidRPr="009C10F2" w:rsidRDefault="001678E9" w:rsidP="00C5041F">
      <w:pPr>
        <w:pStyle w:val="ListParagraph"/>
        <w:numPr>
          <w:ilvl w:val="1"/>
          <w:numId w:val="3"/>
        </w:numPr>
        <w:spacing w:after="200" w:line="240" w:lineRule="auto"/>
        <w:rPr>
          <w:rFonts w:cstheme="minorHAnsi"/>
        </w:rPr>
      </w:pPr>
      <w:r w:rsidRPr="009C10F2">
        <w:rPr>
          <w:rFonts w:cstheme="minorHAnsi"/>
        </w:rPr>
        <w:t xml:space="preserve">Roll call vote- Ayes: </w:t>
      </w:r>
      <w:r w:rsidR="00587CB9" w:rsidRPr="009C10F2">
        <w:rPr>
          <w:rFonts w:cstheme="minorHAnsi"/>
        </w:rPr>
        <w:t xml:space="preserve">Councilwoman Marikay Abuzuaiter, </w:t>
      </w:r>
      <w:r w:rsidR="00C83F77" w:rsidRPr="009C10F2">
        <w:rPr>
          <w:rFonts w:cstheme="minorHAnsi"/>
        </w:rPr>
        <w:t>Mayor Kelly Allen,</w:t>
      </w:r>
      <w:r w:rsidRPr="009C10F2">
        <w:rPr>
          <w:rFonts w:cstheme="minorHAnsi"/>
        </w:rPr>
        <w:t xml:space="preserve"> Commissioner Kevin Austin, Alderwoman Renee Bryant, </w:t>
      </w:r>
      <w:r w:rsidR="002031C3" w:rsidRPr="009C10F2">
        <w:rPr>
          <w:rFonts w:cstheme="minorHAnsi"/>
        </w:rPr>
        <w:t xml:space="preserve">Mayor Rick Cross, </w:t>
      </w:r>
      <w:r w:rsidR="005B760A" w:rsidRPr="009C10F2">
        <w:rPr>
          <w:rFonts w:cstheme="minorHAnsi"/>
        </w:rPr>
        <w:t xml:space="preserve">Mayor Pro </w:t>
      </w:r>
      <w:proofErr w:type="spellStart"/>
      <w:r w:rsidR="005B760A" w:rsidRPr="009C10F2">
        <w:rPr>
          <w:rFonts w:cstheme="minorHAnsi"/>
        </w:rPr>
        <w:t>Tem</w:t>
      </w:r>
      <w:proofErr w:type="spellEnd"/>
      <w:r w:rsidR="005B760A" w:rsidRPr="009C10F2">
        <w:rPr>
          <w:rFonts w:cstheme="minorHAnsi"/>
        </w:rPr>
        <w:t xml:space="preserve"> Monta Davis-Oliver, </w:t>
      </w:r>
      <w:r w:rsidR="00587CB9" w:rsidRPr="009C10F2">
        <w:rPr>
          <w:rFonts w:cstheme="minorHAnsi"/>
        </w:rPr>
        <w:t xml:space="preserve">Commissioner Benita Finney, </w:t>
      </w:r>
      <w:r w:rsidRPr="009C10F2">
        <w:rPr>
          <w:rFonts w:eastAsia="Calibri" w:cstheme="minorHAnsi"/>
          <w:lang w:val="en-GB"/>
        </w:rPr>
        <w:t xml:space="preserve">Mayor Alvin Foster, Chairman Darrell Frye, </w:t>
      </w:r>
      <w:r w:rsidR="005B760A" w:rsidRPr="009C10F2">
        <w:rPr>
          <w:rFonts w:cstheme="minorHAnsi"/>
        </w:rPr>
        <w:t xml:space="preserve">Council Member Dwight Lake, </w:t>
      </w:r>
      <w:r w:rsidR="002031C3" w:rsidRPr="009C10F2">
        <w:rPr>
          <w:rFonts w:cstheme="minorHAnsi"/>
        </w:rPr>
        <w:t xml:space="preserve">Chairman Fred McClure, </w:t>
      </w:r>
      <w:r w:rsidR="00587CB9" w:rsidRPr="009C10F2">
        <w:rPr>
          <w:rFonts w:cstheme="minorHAnsi"/>
        </w:rPr>
        <w:t xml:space="preserve">Commissioner Tonya McDaniel, </w:t>
      </w:r>
      <w:r w:rsidRPr="009C10F2">
        <w:rPr>
          <w:rFonts w:cstheme="minorHAnsi"/>
        </w:rPr>
        <w:t xml:space="preserve">Commissioner Rick Morris, Commissioner Mark Richardson, </w:t>
      </w:r>
      <w:r w:rsidR="00B43284" w:rsidRPr="009C10F2">
        <w:rPr>
          <w:rFonts w:cstheme="minorHAnsi"/>
        </w:rPr>
        <w:t>Commissioner Pamela Thompson,</w:t>
      </w:r>
      <w:r w:rsidR="00587CB9" w:rsidRPr="009C10F2">
        <w:rPr>
          <w:rFonts w:cstheme="minorHAnsi"/>
        </w:rPr>
        <w:t xml:space="preserve"> </w:t>
      </w:r>
      <w:r w:rsidR="00F94EF5" w:rsidRPr="009C10F2">
        <w:rPr>
          <w:rFonts w:cstheme="minorHAnsi"/>
        </w:rPr>
        <w:t>Commissioner Marie Wood.</w:t>
      </w:r>
    </w:p>
    <w:p w14:paraId="60B0D777" w14:textId="77777777" w:rsidR="001678E9" w:rsidRPr="009C10F2" w:rsidRDefault="001678E9" w:rsidP="00C5041F">
      <w:pPr>
        <w:pStyle w:val="ListParagraph"/>
        <w:numPr>
          <w:ilvl w:val="1"/>
          <w:numId w:val="3"/>
        </w:numPr>
        <w:spacing w:after="200" w:line="240" w:lineRule="auto"/>
        <w:rPr>
          <w:rFonts w:cstheme="minorHAnsi"/>
        </w:rPr>
      </w:pPr>
      <w:r w:rsidRPr="009C10F2">
        <w:rPr>
          <w:rFonts w:cstheme="minorHAnsi"/>
        </w:rPr>
        <w:t>Nays: none</w:t>
      </w:r>
    </w:p>
    <w:p w14:paraId="7B46DD66" w14:textId="5E48AE12" w:rsidR="001678E9" w:rsidRPr="009C10F2" w:rsidRDefault="001678E9" w:rsidP="00C5041F">
      <w:pPr>
        <w:pStyle w:val="ListParagraph"/>
        <w:numPr>
          <w:ilvl w:val="1"/>
          <w:numId w:val="3"/>
        </w:numPr>
        <w:spacing w:after="200" w:line="240" w:lineRule="auto"/>
        <w:rPr>
          <w:rFonts w:cstheme="minorHAnsi"/>
        </w:rPr>
      </w:pPr>
      <w:r w:rsidRPr="009C10F2">
        <w:rPr>
          <w:rFonts w:cstheme="minorHAnsi"/>
        </w:rPr>
        <w:t>Action Items 1-</w:t>
      </w:r>
      <w:r w:rsidR="00530FD9" w:rsidRPr="009C10F2">
        <w:rPr>
          <w:rFonts w:cstheme="minorHAnsi"/>
        </w:rPr>
        <w:t>9</w:t>
      </w:r>
      <w:r w:rsidRPr="009C10F2">
        <w:rPr>
          <w:rFonts w:cstheme="minorHAnsi"/>
        </w:rPr>
        <w:t xml:space="preserve"> are approved. </w:t>
      </w:r>
    </w:p>
    <w:p w14:paraId="7793C83C" w14:textId="77777777" w:rsidR="009C18EC" w:rsidRPr="009C10F2" w:rsidRDefault="009C18EC" w:rsidP="001678E9">
      <w:pPr>
        <w:pStyle w:val="ListParagraph"/>
        <w:spacing w:after="200" w:line="240" w:lineRule="auto"/>
        <w:ind w:left="360"/>
        <w:rPr>
          <w:rFonts w:eastAsia="Times New Roman" w:cstheme="minorHAnsi"/>
          <w:b/>
        </w:rPr>
      </w:pPr>
    </w:p>
    <w:p w14:paraId="443B4208" w14:textId="524C25F4" w:rsidR="00055C59" w:rsidRPr="009C10F2" w:rsidRDefault="00E76EEC" w:rsidP="00C5041F">
      <w:pPr>
        <w:pStyle w:val="ListParagraph"/>
        <w:numPr>
          <w:ilvl w:val="0"/>
          <w:numId w:val="3"/>
        </w:numPr>
        <w:spacing w:after="200" w:line="240" w:lineRule="auto"/>
        <w:rPr>
          <w:rFonts w:cstheme="minorHAnsi"/>
          <w:b/>
        </w:rPr>
      </w:pPr>
      <w:r w:rsidRPr="009C10F2">
        <w:rPr>
          <w:rFonts w:cstheme="minorHAnsi"/>
          <w:b/>
        </w:rPr>
        <w:t>Executive Director’s R</w:t>
      </w:r>
      <w:r w:rsidR="00390D69" w:rsidRPr="009C10F2">
        <w:rPr>
          <w:rFonts w:cstheme="minorHAnsi"/>
          <w:b/>
        </w:rPr>
        <w:t>eport</w:t>
      </w:r>
      <w:r w:rsidRPr="009C10F2">
        <w:rPr>
          <w:rFonts w:cstheme="minorHAnsi"/>
          <w:b/>
        </w:rPr>
        <w:t xml:space="preserve">, Matthew Dolge, </w:t>
      </w:r>
      <w:r w:rsidR="007B3135" w:rsidRPr="009C10F2">
        <w:rPr>
          <w:rFonts w:cstheme="minorHAnsi"/>
          <w:b/>
        </w:rPr>
        <w:t>Executive Director</w:t>
      </w:r>
    </w:p>
    <w:p w14:paraId="2816E1CF" w14:textId="509122B1" w:rsidR="005F4C69" w:rsidRPr="009C10F2" w:rsidRDefault="00251298" w:rsidP="009A775E">
      <w:pPr>
        <w:pStyle w:val="ListParagraph"/>
        <w:numPr>
          <w:ilvl w:val="1"/>
          <w:numId w:val="3"/>
        </w:numPr>
        <w:spacing w:after="200" w:line="240" w:lineRule="auto"/>
        <w:rPr>
          <w:rFonts w:cstheme="minorHAnsi"/>
        </w:rPr>
      </w:pPr>
      <w:r w:rsidRPr="009C10F2">
        <w:rPr>
          <w:rFonts w:cstheme="minorHAnsi"/>
        </w:rPr>
        <w:t xml:space="preserve">Mr. </w:t>
      </w:r>
      <w:r w:rsidR="00B551AE" w:rsidRPr="009C10F2">
        <w:rPr>
          <w:rFonts w:cstheme="minorHAnsi"/>
        </w:rPr>
        <w:t xml:space="preserve">Dolge </w:t>
      </w:r>
      <w:r w:rsidR="00D01511" w:rsidRPr="009C10F2">
        <w:rPr>
          <w:rFonts w:cstheme="minorHAnsi"/>
        </w:rPr>
        <w:t>s</w:t>
      </w:r>
      <w:r w:rsidR="009C10F2" w:rsidRPr="009C10F2">
        <w:rPr>
          <w:rFonts w:cstheme="minorHAnsi"/>
        </w:rPr>
        <w:t>hared the 2021-2022 PTRC A</w:t>
      </w:r>
      <w:r w:rsidR="00D0503E" w:rsidRPr="009C10F2">
        <w:rPr>
          <w:rFonts w:cstheme="minorHAnsi"/>
        </w:rPr>
        <w:t xml:space="preserve">nnual </w:t>
      </w:r>
      <w:r w:rsidR="009C10F2" w:rsidRPr="009C10F2">
        <w:rPr>
          <w:rFonts w:cstheme="minorHAnsi"/>
        </w:rPr>
        <w:t>R</w:t>
      </w:r>
      <w:r w:rsidR="00D0503E" w:rsidRPr="009C10F2">
        <w:rPr>
          <w:rFonts w:cstheme="minorHAnsi"/>
        </w:rPr>
        <w:t>eport</w:t>
      </w:r>
      <w:r w:rsidR="009C10F2" w:rsidRPr="009C10F2">
        <w:rPr>
          <w:rFonts w:cstheme="minorHAnsi"/>
        </w:rPr>
        <w:t xml:space="preserve"> which highlights what we are doing in the region. Our staff does a great job putting this together and we encourage you to share it with your full boards. </w:t>
      </w:r>
      <w:r w:rsidR="00D0503E" w:rsidRPr="009C10F2">
        <w:rPr>
          <w:rFonts w:cstheme="minorHAnsi"/>
        </w:rPr>
        <w:t xml:space="preserve"> </w:t>
      </w:r>
    </w:p>
    <w:p w14:paraId="7219C996" w14:textId="70BAAFE4" w:rsidR="003B334E" w:rsidRPr="009C10F2" w:rsidRDefault="009C10F2" w:rsidP="003B334E">
      <w:pPr>
        <w:pStyle w:val="ListParagraph"/>
        <w:numPr>
          <w:ilvl w:val="1"/>
          <w:numId w:val="3"/>
        </w:numPr>
        <w:spacing w:after="200" w:line="240" w:lineRule="auto"/>
        <w:rPr>
          <w:rFonts w:cstheme="minorHAnsi"/>
        </w:rPr>
      </w:pPr>
      <w:r w:rsidRPr="009C10F2">
        <w:rPr>
          <w:rFonts w:cstheme="minorHAnsi"/>
        </w:rPr>
        <w:t xml:space="preserve">Mr. </w:t>
      </w:r>
      <w:r w:rsidR="00D0503E" w:rsidRPr="009C10F2">
        <w:rPr>
          <w:rFonts w:cstheme="minorHAnsi"/>
        </w:rPr>
        <w:t>Jesse</w:t>
      </w:r>
      <w:r w:rsidRPr="009C10F2">
        <w:rPr>
          <w:rFonts w:cstheme="minorHAnsi"/>
        </w:rPr>
        <w:t xml:space="preserve"> Day</w:t>
      </w:r>
      <w:r w:rsidR="00D0503E" w:rsidRPr="009C10F2">
        <w:rPr>
          <w:rFonts w:cstheme="minorHAnsi"/>
        </w:rPr>
        <w:t xml:space="preserve"> and I were at</w:t>
      </w:r>
      <w:r w:rsidRPr="009C10F2">
        <w:rPr>
          <w:rFonts w:cstheme="minorHAnsi"/>
        </w:rPr>
        <w:t xml:space="preserve"> a</w:t>
      </w:r>
      <w:r w:rsidR="00D0503E" w:rsidRPr="009C10F2">
        <w:rPr>
          <w:rFonts w:cstheme="minorHAnsi"/>
        </w:rPr>
        <w:t xml:space="preserve"> taping for Triad Today</w:t>
      </w:r>
      <w:r w:rsidRPr="009C10F2">
        <w:rPr>
          <w:rFonts w:cstheme="minorHAnsi"/>
        </w:rPr>
        <w:t xml:space="preserve"> earlier this morning</w:t>
      </w:r>
      <w:r w:rsidR="00D0503E" w:rsidRPr="009C10F2">
        <w:rPr>
          <w:rFonts w:cstheme="minorHAnsi"/>
        </w:rPr>
        <w:t xml:space="preserve">. </w:t>
      </w:r>
      <w:r w:rsidRPr="009C10F2">
        <w:rPr>
          <w:rFonts w:cstheme="minorHAnsi"/>
        </w:rPr>
        <w:t>W</w:t>
      </w:r>
      <w:r w:rsidR="00D0503E" w:rsidRPr="009C10F2">
        <w:rPr>
          <w:rFonts w:cstheme="minorHAnsi"/>
        </w:rPr>
        <w:t xml:space="preserve">e talked about </w:t>
      </w:r>
      <w:r w:rsidRPr="009C10F2">
        <w:rPr>
          <w:rFonts w:cstheme="minorHAnsi"/>
        </w:rPr>
        <w:t xml:space="preserve">the </w:t>
      </w:r>
      <w:r w:rsidR="00D0503E" w:rsidRPr="009C10F2">
        <w:rPr>
          <w:rFonts w:cstheme="minorHAnsi"/>
        </w:rPr>
        <w:t>NC Triad Outdoors</w:t>
      </w:r>
      <w:r w:rsidRPr="009C10F2">
        <w:rPr>
          <w:rFonts w:cstheme="minorHAnsi"/>
        </w:rPr>
        <w:t xml:space="preserve"> website</w:t>
      </w:r>
      <w:r w:rsidR="00D0503E" w:rsidRPr="009C10F2">
        <w:rPr>
          <w:rFonts w:cstheme="minorHAnsi"/>
        </w:rPr>
        <w:t>.</w:t>
      </w:r>
      <w:r w:rsidRPr="009C10F2">
        <w:rPr>
          <w:rFonts w:cstheme="minorHAnsi"/>
        </w:rPr>
        <w:t xml:space="preserve"> We will have a formal rollout this month. </w:t>
      </w:r>
      <w:r w:rsidR="00D0503E" w:rsidRPr="009C10F2">
        <w:rPr>
          <w:rFonts w:cstheme="minorHAnsi"/>
        </w:rPr>
        <w:t xml:space="preserve"> </w:t>
      </w:r>
    </w:p>
    <w:p w14:paraId="7274BAE9" w14:textId="4328BB6E" w:rsidR="003B334E" w:rsidRPr="009C10F2" w:rsidRDefault="009C10F2" w:rsidP="003B334E">
      <w:pPr>
        <w:pStyle w:val="ListParagraph"/>
        <w:numPr>
          <w:ilvl w:val="1"/>
          <w:numId w:val="3"/>
        </w:numPr>
        <w:spacing w:after="200" w:line="240" w:lineRule="auto"/>
        <w:rPr>
          <w:rFonts w:cstheme="minorHAnsi"/>
        </w:rPr>
      </w:pPr>
      <w:r w:rsidRPr="009C10F2">
        <w:rPr>
          <w:rFonts w:cstheme="minorHAnsi"/>
        </w:rPr>
        <w:t xml:space="preserve">We continue to move forward with the </w:t>
      </w:r>
      <w:r w:rsidR="003B334E" w:rsidRPr="009C10F2">
        <w:rPr>
          <w:rFonts w:cstheme="minorHAnsi"/>
        </w:rPr>
        <w:t>Home Consort</w:t>
      </w:r>
      <w:r w:rsidRPr="009C10F2">
        <w:rPr>
          <w:rFonts w:cstheme="minorHAnsi"/>
        </w:rPr>
        <w:t>i</w:t>
      </w:r>
      <w:r w:rsidR="003B334E" w:rsidRPr="009C10F2">
        <w:rPr>
          <w:rFonts w:cstheme="minorHAnsi"/>
        </w:rPr>
        <w:t>um</w:t>
      </w:r>
      <w:r w:rsidRPr="009C10F2">
        <w:rPr>
          <w:rFonts w:cstheme="minorHAnsi"/>
        </w:rPr>
        <w:t xml:space="preserve">. I have spoken to Burlington and Rockingham’s board and they are both moving forward with us. I will visit Caswell and Alamance on Monday. This is a great opportunity and we appreciate the support. </w:t>
      </w:r>
    </w:p>
    <w:p w14:paraId="3435D4CD" w14:textId="39220C5C" w:rsidR="0085288A" w:rsidRPr="009C10F2" w:rsidRDefault="009C10F2" w:rsidP="003B334E">
      <w:pPr>
        <w:pStyle w:val="ListParagraph"/>
        <w:numPr>
          <w:ilvl w:val="1"/>
          <w:numId w:val="3"/>
        </w:numPr>
        <w:spacing w:after="200" w:line="240" w:lineRule="auto"/>
        <w:rPr>
          <w:rFonts w:cstheme="minorHAnsi"/>
        </w:rPr>
      </w:pPr>
      <w:r w:rsidRPr="009C10F2">
        <w:rPr>
          <w:rFonts w:cstheme="minorHAnsi"/>
        </w:rPr>
        <w:t xml:space="preserve">Mr. Dolge is traveling to each county in our region to meet with Managers and hear from you all. These meetings will take place over lunch at a local restaurant. </w:t>
      </w:r>
      <w:r w:rsidR="0085288A" w:rsidRPr="009C10F2">
        <w:rPr>
          <w:rFonts w:cstheme="minorHAnsi"/>
        </w:rPr>
        <w:t xml:space="preserve"> </w:t>
      </w:r>
    </w:p>
    <w:p w14:paraId="08B96C50" w14:textId="492F3104" w:rsidR="0085288A" w:rsidRPr="009C10F2" w:rsidRDefault="009C10F2" w:rsidP="003B334E">
      <w:pPr>
        <w:pStyle w:val="ListParagraph"/>
        <w:numPr>
          <w:ilvl w:val="1"/>
          <w:numId w:val="3"/>
        </w:numPr>
        <w:spacing w:after="200" w:line="240" w:lineRule="auto"/>
        <w:rPr>
          <w:rFonts w:cstheme="minorHAnsi"/>
        </w:rPr>
      </w:pPr>
      <w:r w:rsidRPr="009C10F2">
        <w:rPr>
          <w:rFonts w:cstheme="minorHAnsi"/>
        </w:rPr>
        <w:t xml:space="preserve">Governor Cooper did sign off on </w:t>
      </w:r>
      <w:r w:rsidR="0085288A" w:rsidRPr="009C10F2">
        <w:rPr>
          <w:rFonts w:cstheme="minorHAnsi"/>
        </w:rPr>
        <w:t>Workforce Consolidation.</w:t>
      </w:r>
      <w:r w:rsidRPr="009C10F2">
        <w:rPr>
          <w:rFonts w:cstheme="minorHAnsi"/>
        </w:rPr>
        <w:t xml:space="preserve"> We continue to move through that process.</w:t>
      </w:r>
      <w:r w:rsidR="0085288A" w:rsidRPr="009C10F2">
        <w:rPr>
          <w:rFonts w:cstheme="minorHAnsi"/>
        </w:rPr>
        <w:t xml:space="preserve"> </w:t>
      </w:r>
    </w:p>
    <w:p w14:paraId="2019D955" w14:textId="77777777" w:rsidR="007C462D" w:rsidRPr="009C10F2" w:rsidRDefault="007C462D" w:rsidP="007C462D">
      <w:pPr>
        <w:pStyle w:val="ListParagraph"/>
        <w:spacing w:after="200" w:line="240" w:lineRule="auto"/>
        <w:rPr>
          <w:rFonts w:cstheme="minorHAnsi"/>
        </w:rPr>
      </w:pPr>
    </w:p>
    <w:p w14:paraId="4845F06C" w14:textId="4591A194" w:rsidR="00327221" w:rsidRPr="009C10F2" w:rsidRDefault="007F3946" w:rsidP="00C5041F">
      <w:pPr>
        <w:pStyle w:val="ListParagraph"/>
        <w:numPr>
          <w:ilvl w:val="0"/>
          <w:numId w:val="3"/>
        </w:numPr>
        <w:spacing w:after="200" w:line="240" w:lineRule="auto"/>
        <w:rPr>
          <w:rFonts w:cstheme="minorHAnsi"/>
          <w:b/>
        </w:rPr>
      </w:pPr>
      <w:r w:rsidRPr="009C10F2">
        <w:rPr>
          <w:rFonts w:cstheme="minorHAnsi"/>
          <w:b/>
        </w:rPr>
        <w:t>There being no other business</w:t>
      </w:r>
      <w:r w:rsidR="00F04A25" w:rsidRPr="009C10F2">
        <w:rPr>
          <w:rFonts w:cstheme="minorHAnsi"/>
          <w:b/>
        </w:rPr>
        <w:t xml:space="preserve">, </w:t>
      </w:r>
      <w:r w:rsidR="00B411C7" w:rsidRPr="009C10F2">
        <w:rPr>
          <w:rFonts w:cstheme="minorHAnsi"/>
          <w:b/>
        </w:rPr>
        <w:t>t</w:t>
      </w:r>
      <w:r w:rsidR="00327221" w:rsidRPr="009C10F2">
        <w:rPr>
          <w:rFonts w:cstheme="minorHAnsi"/>
          <w:b/>
        </w:rPr>
        <w:t>h</w:t>
      </w:r>
      <w:r w:rsidR="00DB5BAB" w:rsidRPr="009C10F2">
        <w:rPr>
          <w:rFonts w:cstheme="minorHAnsi"/>
          <w:b/>
        </w:rPr>
        <w:t>e meeting was adjourned</w:t>
      </w:r>
      <w:r w:rsidR="00775BC3" w:rsidRPr="009C10F2">
        <w:rPr>
          <w:rFonts w:cstheme="minorHAnsi"/>
          <w:b/>
        </w:rPr>
        <w:t xml:space="preserve"> with general consensus</w:t>
      </w:r>
      <w:r w:rsidR="00CC0B3B" w:rsidRPr="009C10F2">
        <w:rPr>
          <w:rFonts w:cstheme="minorHAnsi"/>
          <w:b/>
        </w:rPr>
        <w:t xml:space="preserve"> </w:t>
      </w:r>
      <w:r w:rsidR="00DB5BAB" w:rsidRPr="009C10F2">
        <w:rPr>
          <w:rFonts w:cstheme="minorHAnsi"/>
          <w:b/>
        </w:rPr>
        <w:t xml:space="preserve">at </w:t>
      </w:r>
      <w:r w:rsidR="009B45EA" w:rsidRPr="009C10F2">
        <w:rPr>
          <w:rFonts w:cstheme="minorHAnsi"/>
          <w:b/>
        </w:rPr>
        <w:t>12</w:t>
      </w:r>
      <w:r w:rsidR="00CA31CA" w:rsidRPr="009C10F2">
        <w:rPr>
          <w:rFonts w:cstheme="minorHAnsi"/>
          <w:b/>
        </w:rPr>
        <w:t>:</w:t>
      </w:r>
      <w:r w:rsidR="001D3E43" w:rsidRPr="009C10F2">
        <w:rPr>
          <w:rFonts w:cstheme="minorHAnsi"/>
          <w:b/>
        </w:rPr>
        <w:t>5</w:t>
      </w:r>
      <w:r w:rsidR="008C32D8" w:rsidRPr="009C10F2">
        <w:rPr>
          <w:rFonts w:cstheme="minorHAnsi"/>
          <w:b/>
        </w:rPr>
        <w:t>0</w:t>
      </w:r>
      <w:r w:rsidR="00BC08BC" w:rsidRPr="009C10F2">
        <w:rPr>
          <w:rFonts w:cstheme="minorHAnsi"/>
          <w:b/>
        </w:rPr>
        <w:t xml:space="preserve"> p</w:t>
      </w:r>
      <w:r w:rsidR="00327221" w:rsidRPr="009C10F2">
        <w:rPr>
          <w:rFonts w:cstheme="minorHAnsi"/>
          <w:b/>
        </w:rPr>
        <w:t>.m.</w:t>
      </w:r>
      <w:r w:rsidR="0093620D" w:rsidRPr="009C10F2">
        <w:rPr>
          <w:rFonts w:cstheme="minorHAnsi"/>
          <w:b/>
        </w:rPr>
        <w:t xml:space="preserve"> </w:t>
      </w:r>
    </w:p>
    <w:p w14:paraId="3E253494" w14:textId="64F78F63" w:rsidR="00493A68" w:rsidRPr="009C10F2" w:rsidRDefault="00646638" w:rsidP="004960DF">
      <w:pPr>
        <w:spacing w:after="0" w:line="240" w:lineRule="auto"/>
        <w:ind w:left="360"/>
        <w:rPr>
          <w:rFonts w:cstheme="minorHAnsi"/>
        </w:rPr>
      </w:pPr>
      <w:r w:rsidRPr="009C10F2">
        <w:rPr>
          <w:rFonts w:cstheme="minorHAnsi"/>
        </w:rPr>
        <w:t>__</w:t>
      </w:r>
      <w:r w:rsidR="004960DF" w:rsidRPr="009C10F2">
        <w:rPr>
          <w:rFonts w:cstheme="minorHAnsi"/>
        </w:rPr>
        <w:t>______________________</w:t>
      </w:r>
      <w:r w:rsidR="00F103A5" w:rsidRPr="009C10F2">
        <w:rPr>
          <w:rFonts w:cstheme="minorHAnsi"/>
        </w:rPr>
        <w:tab/>
      </w:r>
      <w:r w:rsidR="00682985" w:rsidRPr="009C10F2">
        <w:rPr>
          <w:rFonts w:cstheme="minorHAnsi"/>
        </w:rPr>
        <w:t xml:space="preserve">               </w:t>
      </w:r>
      <w:r w:rsidR="003020E4" w:rsidRPr="009C10F2">
        <w:rPr>
          <w:rFonts w:cstheme="minorHAnsi"/>
        </w:rPr>
        <w:t>___</w:t>
      </w:r>
      <w:r w:rsidR="001A17EB" w:rsidRPr="009C10F2">
        <w:rPr>
          <w:rFonts w:cstheme="minorHAnsi"/>
        </w:rPr>
        <w:t>_______________</w:t>
      </w:r>
      <w:r w:rsidR="006F38D7" w:rsidRPr="009C10F2">
        <w:rPr>
          <w:rFonts w:cstheme="minorHAnsi"/>
        </w:rPr>
        <w:t>______</w:t>
      </w:r>
    </w:p>
    <w:p w14:paraId="345EE756" w14:textId="05E49120" w:rsidR="005A37D3" w:rsidRPr="009C10F2" w:rsidRDefault="00BC08BC" w:rsidP="004960DF">
      <w:pPr>
        <w:spacing w:after="0" w:line="240" w:lineRule="auto"/>
        <w:ind w:left="360"/>
        <w:rPr>
          <w:rFonts w:cstheme="minorHAnsi"/>
        </w:rPr>
      </w:pPr>
      <w:r w:rsidRPr="009C10F2">
        <w:rPr>
          <w:rFonts w:cstheme="minorHAnsi"/>
          <w:b/>
        </w:rPr>
        <w:t>Alvin Foster</w:t>
      </w:r>
      <w:r w:rsidR="00277BC6" w:rsidRPr="009C10F2">
        <w:rPr>
          <w:rFonts w:cstheme="minorHAnsi"/>
          <w:b/>
        </w:rPr>
        <w:t>, PTRC</w:t>
      </w:r>
      <w:r w:rsidR="00F41F0A" w:rsidRPr="009C10F2">
        <w:rPr>
          <w:rFonts w:cstheme="minorHAnsi"/>
          <w:b/>
        </w:rPr>
        <w:t xml:space="preserve"> </w:t>
      </w:r>
      <w:r w:rsidR="00F73EFC" w:rsidRPr="009C10F2">
        <w:rPr>
          <w:rFonts w:cstheme="minorHAnsi"/>
          <w:b/>
        </w:rPr>
        <w:t>C</w:t>
      </w:r>
      <w:r w:rsidR="001C1E52" w:rsidRPr="009C10F2">
        <w:rPr>
          <w:rFonts w:cstheme="minorHAnsi"/>
          <w:b/>
        </w:rPr>
        <w:t>hair</w:t>
      </w:r>
      <w:r w:rsidR="00784434" w:rsidRPr="009C10F2">
        <w:rPr>
          <w:rFonts w:cstheme="minorHAnsi"/>
          <w:b/>
        </w:rPr>
        <w:tab/>
      </w:r>
      <w:r w:rsidR="005B4CFB" w:rsidRPr="009C10F2">
        <w:rPr>
          <w:rFonts w:cstheme="minorHAnsi"/>
          <w:b/>
        </w:rPr>
        <w:tab/>
      </w:r>
      <w:r w:rsidR="00682985" w:rsidRPr="009C10F2">
        <w:rPr>
          <w:rFonts w:cstheme="minorHAnsi"/>
          <w:b/>
        </w:rPr>
        <w:t xml:space="preserve">               </w:t>
      </w:r>
      <w:r w:rsidR="003020E4" w:rsidRPr="009C10F2">
        <w:rPr>
          <w:rFonts w:cstheme="minorHAnsi"/>
          <w:b/>
        </w:rPr>
        <w:t>Katie Mitchell, Clerk to the Board</w:t>
      </w:r>
    </w:p>
    <w:sectPr w:rsidR="005A37D3" w:rsidRPr="009C10F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7986" w14:textId="77777777" w:rsidR="009A775E" w:rsidRDefault="009A775E" w:rsidP="00C16273">
      <w:pPr>
        <w:spacing w:after="0" w:line="240" w:lineRule="auto"/>
      </w:pPr>
      <w:r>
        <w:separator/>
      </w:r>
    </w:p>
  </w:endnote>
  <w:endnote w:type="continuationSeparator" w:id="0">
    <w:p w14:paraId="6C21B12F" w14:textId="77777777" w:rsidR="009A775E" w:rsidRDefault="009A775E"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21A6" w14:textId="6B6DC2DE" w:rsidR="00A90DD4" w:rsidRPr="004F5061" w:rsidRDefault="00A90DD4" w:rsidP="00683A41">
    <w:pPr>
      <w:pStyle w:val="Footer"/>
      <w:jc w:val="center"/>
      <w:rPr>
        <w:rFonts w:ascii="Poppins" w:hAnsi="Poppins" w:cs="Poppins"/>
        <w:sz w:val="20"/>
      </w:rPr>
    </w:pPr>
    <w:r w:rsidRPr="004F5061">
      <w:rPr>
        <w:rFonts w:ascii="Poppins" w:hAnsi="Poppins" w:cs="Poppins"/>
        <w:sz w:val="20"/>
      </w:rPr>
      <w:t xml:space="preserve">Page </w:t>
    </w:r>
    <w:r w:rsidRPr="004F5061">
      <w:rPr>
        <w:rFonts w:ascii="Poppins" w:hAnsi="Poppins" w:cs="Poppins"/>
        <w:sz w:val="20"/>
      </w:rPr>
      <w:fldChar w:fldCharType="begin"/>
    </w:r>
    <w:r w:rsidRPr="004F5061">
      <w:rPr>
        <w:rFonts w:ascii="Poppins" w:hAnsi="Poppins" w:cs="Poppins"/>
        <w:sz w:val="20"/>
      </w:rPr>
      <w:instrText xml:space="preserve"> PAGE  \* Arabic  \* MERGEFORMAT </w:instrText>
    </w:r>
    <w:r w:rsidRPr="004F5061">
      <w:rPr>
        <w:rFonts w:ascii="Poppins" w:hAnsi="Poppins" w:cs="Poppins"/>
        <w:sz w:val="20"/>
      </w:rPr>
      <w:fldChar w:fldCharType="separate"/>
    </w:r>
    <w:r>
      <w:rPr>
        <w:rFonts w:ascii="Poppins" w:hAnsi="Poppins" w:cs="Poppins"/>
        <w:noProof/>
        <w:sz w:val="20"/>
      </w:rPr>
      <w:t>8</w:t>
    </w:r>
    <w:r w:rsidRPr="004F5061">
      <w:rPr>
        <w:rFonts w:ascii="Poppins" w:hAnsi="Poppins" w:cs="Poppins"/>
        <w:sz w:val="20"/>
      </w:rPr>
      <w:fldChar w:fldCharType="end"/>
    </w:r>
    <w:r w:rsidRPr="004F5061">
      <w:rPr>
        <w:rFonts w:ascii="Poppins" w:hAnsi="Poppins" w:cs="Poppins"/>
        <w:sz w:val="20"/>
      </w:rPr>
      <w:t xml:space="preserve"> of </w:t>
    </w:r>
    <w:r w:rsidRPr="004F5061">
      <w:rPr>
        <w:rFonts w:ascii="Poppins" w:hAnsi="Poppins" w:cs="Poppins"/>
        <w:sz w:val="20"/>
      </w:rPr>
      <w:fldChar w:fldCharType="begin"/>
    </w:r>
    <w:r w:rsidRPr="004F5061">
      <w:rPr>
        <w:rFonts w:ascii="Poppins" w:hAnsi="Poppins" w:cs="Poppins"/>
        <w:sz w:val="20"/>
      </w:rPr>
      <w:instrText xml:space="preserve"> NUMPAGES  \* Arabic  \* MERGEFORMAT </w:instrText>
    </w:r>
    <w:r w:rsidRPr="004F5061">
      <w:rPr>
        <w:rFonts w:ascii="Poppins" w:hAnsi="Poppins" w:cs="Poppins"/>
        <w:sz w:val="20"/>
      </w:rPr>
      <w:fldChar w:fldCharType="separate"/>
    </w:r>
    <w:r>
      <w:rPr>
        <w:rFonts w:ascii="Poppins" w:hAnsi="Poppins" w:cs="Poppins"/>
        <w:noProof/>
        <w:sz w:val="20"/>
      </w:rPr>
      <w:t>8</w:t>
    </w:r>
    <w:r w:rsidRPr="004F5061">
      <w:rPr>
        <w:rFonts w:ascii="Poppins" w:hAnsi="Poppins" w:cs="Poppins"/>
        <w:sz w:val="20"/>
      </w:rPr>
      <w:fldChar w:fldCharType="end"/>
    </w:r>
  </w:p>
  <w:p w14:paraId="2628EA19" w14:textId="4518E12D" w:rsidR="00A90DD4" w:rsidRPr="004F5061" w:rsidRDefault="00E624A4" w:rsidP="00683A41">
    <w:pPr>
      <w:pStyle w:val="Footer"/>
      <w:jc w:val="right"/>
      <w:rPr>
        <w:rFonts w:ascii="Poppins" w:hAnsi="Poppins" w:cs="Poppins"/>
        <w:sz w:val="20"/>
      </w:rPr>
    </w:pPr>
    <w:r>
      <w:rPr>
        <w:rFonts w:ascii="Poppins" w:hAnsi="Poppins" w:cs="Poppins"/>
        <w:sz w:val="20"/>
      </w:rPr>
      <w:t>March</w:t>
    </w:r>
    <w:r w:rsidR="00A90DD4">
      <w:rPr>
        <w:rFonts w:ascii="Poppins" w:hAnsi="Poppins" w:cs="Poppins"/>
        <w:sz w:val="20"/>
      </w:rPr>
      <w:t xml:space="preserve">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BDDE" w14:textId="77777777" w:rsidR="009A775E" w:rsidRDefault="009A775E" w:rsidP="00C16273">
      <w:pPr>
        <w:spacing w:after="0" w:line="240" w:lineRule="auto"/>
      </w:pPr>
      <w:r>
        <w:separator/>
      </w:r>
    </w:p>
  </w:footnote>
  <w:footnote w:type="continuationSeparator" w:id="0">
    <w:p w14:paraId="3F1FDF36" w14:textId="77777777" w:rsidR="009A775E" w:rsidRDefault="009A775E"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43BFF"/>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1055CE"/>
    <w:multiLevelType w:val="multilevel"/>
    <w:tmpl w:val="22B4BACA"/>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0003573"/>
    <w:multiLevelType w:val="hybridMultilevel"/>
    <w:tmpl w:val="67AED5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577A6F"/>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CD"/>
    <w:rsid w:val="00000EE3"/>
    <w:rsid w:val="00001165"/>
    <w:rsid w:val="00002DD1"/>
    <w:rsid w:val="0000435D"/>
    <w:rsid w:val="00006721"/>
    <w:rsid w:val="00006A31"/>
    <w:rsid w:val="00011AED"/>
    <w:rsid w:val="00011B7F"/>
    <w:rsid w:val="00015654"/>
    <w:rsid w:val="00015781"/>
    <w:rsid w:val="00020F98"/>
    <w:rsid w:val="00022514"/>
    <w:rsid w:val="00023338"/>
    <w:rsid w:val="000248CF"/>
    <w:rsid w:val="00024D79"/>
    <w:rsid w:val="00025EC3"/>
    <w:rsid w:val="000302D7"/>
    <w:rsid w:val="000318B9"/>
    <w:rsid w:val="000327BF"/>
    <w:rsid w:val="00032DDC"/>
    <w:rsid w:val="00033663"/>
    <w:rsid w:val="000339C8"/>
    <w:rsid w:val="00033E15"/>
    <w:rsid w:val="00036B4A"/>
    <w:rsid w:val="00037C35"/>
    <w:rsid w:val="00041549"/>
    <w:rsid w:val="00041B07"/>
    <w:rsid w:val="0004481C"/>
    <w:rsid w:val="000451B9"/>
    <w:rsid w:val="000454DB"/>
    <w:rsid w:val="00045826"/>
    <w:rsid w:val="000465BD"/>
    <w:rsid w:val="0004792C"/>
    <w:rsid w:val="00047D00"/>
    <w:rsid w:val="00047FC1"/>
    <w:rsid w:val="000503C7"/>
    <w:rsid w:val="00050523"/>
    <w:rsid w:val="00053177"/>
    <w:rsid w:val="00055C59"/>
    <w:rsid w:val="00057D15"/>
    <w:rsid w:val="00057F24"/>
    <w:rsid w:val="00060530"/>
    <w:rsid w:val="00060AF5"/>
    <w:rsid w:val="00063EBD"/>
    <w:rsid w:val="00067355"/>
    <w:rsid w:val="00067F8C"/>
    <w:rsid w:val="000712D2"/>
    <w:rsid w:val="00071D4C"/>
    <w:rsid w:val="000735F0"/>
    <w:rsid w:val="00074ABB"/>
    <w:rsid w:val="00074E80"/>
    <w:rsid w:val="00075970"/>
    <w:rsid w:val="000769FD"/>
    <w:rsid w:val="0007700E"/>
    <w:rsid w:val="000779D7"/>
    <w:rsid w:val="00082350"/>
    <w:rsid w:val="0008485A"/>
    <w:rsid w:val="00084D7C"/>
    <w:rsid w:val="00087053"/>
    <w:rsid w:val="00087398"/>
    <w:rsid w:val="00087725"/>
    <w:rsid w:val="00087781"/>
    <w:rsid w:val="00087B55"/>
    <w:rsid w:val="00090C2C"/>
    <w:rsid w:val="00090D91"/>
    <w:rsid w:val="00091904"/>
    <w:rsid w:val="00092352"/>
    <w:rsid w:val="0009440C"/>
    <w:rsid w:val="00094E32"/>
    <w:rsid w:val="00094F5A"/>
    <w:rsid w:val="000968C6"/>
    <w:rsid w:val="00096A55"/>
    <w:rsid w:val="00096ACF"/>
    <w:rsid w:val="00096B12"/>
    <w:rsid w:val="000A04E7"/>
    <w:rsid w:val="000A0DB7"/>
    <w:rsid w:val="000A29F6"/>
    <w:rsid w:val="000A2BC0"/>
    <w:rsid w:val="000A4424"/>
    <w:rsid w:val="000A480F"/>
    <w:rsid w:val="000A54BB"/>
    <w:rsid w:val="000B00CA"/>
    <w:rsid w:val="000B11BF"/>
    <w:rsid w:val="000B1B17"/>
    <w:rsid w:val="000B3D77"/>
    <w:rsid w:val="000B4535"/>
    <w:rsid w:val="000B4A57"/>
    <w:rsid w:val="000B4D2C"/>
    <w:rsid w:val="000B5CDC"/>
    <w:rsid w:val="000B5D03"/>
    <w:rsid w:val="000B6B4C"/>
    <w:rsid w:val="000C0947"/>
    <w:rsid w:val="000C139F"/>
    <w:rsid w:val="000C1FA2"/>
    <w:rsid w:val="000C26E7"/>
    <w:rsid w:val="000C3724"/>
    <w:rsid w:val="000C4D8E"/>
    <w:rsid w:val="000C53CB"/>
    <w:rsid w:val="000C5A36"/>
    <w:rsid w:val="000C7C3D"/>
    <w:rsid w:val="000D103A"/>
    <w:rsid w:val="000D7B36"/>
    <w:rsid w:val="000D7C59"/>
    <w:rsid w:val="000E1A06"/>
    <w:rsid w:val="000E1ECD"/>
    <w:rsid w:val="000E2D9C"/>
    <w:rsid w:val="000E51D8"/>
    <w:rsid w:val="000E5B31"/>
    <w:rsid w:val="000E6ECC"/>
    <w:rsid w:val="000E795D"/>
    <w:rsid w:val="000E79C0"/>
    <w:rsid w:val="000F0C4A"/>
    <w:rsid w:val="000F1F5F"/>
    <w:rsid w:val="000F37EF"/>
    <w:rsid w:val="000F57C4"/>
    <w:rsid w:val="000F5DF8"/>
    <w:rsid w:val="000F6F4C"/>
    <w:rsid w:val="000F7DA9"/>
    <w:rsid w:val="001008D6"/>
    <w:rsid w:val="00100AF1"/>
    <w:rsid w:val="00102524"/>
    <w:rsid w:val="001034D1"/>
    <w:rsid w:val="00103730"/>
    <w:rsid w:val="00104C3E"/>
    <w:rsid w:val="00107234"/>
    <w:rsid w:val="00107920"/>
    <w:rsid w:val="00110122"/>
    <w:rsid w:val="001106FA"/>
    <w:rsid w:val="001112FD"/>
    <w:rsid w:val="00115302"/>
    <w:rsid w:val="0011759B"/>
    <w:rsid w:val="00120329"/>
    <w:rsid w:val="00120A08"/>
    <w:rsid w:val="00120CF7"/>
    <w:rsid w:val="001212F2"/>
    <w:rsid w:val="0012169C"/>
    <w:rsid w:val="00122E06"/>
    <w:rsid w:val="00123DCC"/>
    <w:rsid w:val="0012485B"/>
    <w:rsid w:val="0012585C"/>
    <w:rsid w:val="001258F9"/>
    <w:rsid w:val="00126165"/>
    <w:rsid w:val="001265C2"/>
    <w:rsid w:val="00126AC2"/>
    <w:rsid w:val="00126FC9"/>
    <w:rsid w:val="0013060E"/>
    <w:rsid w:val="0013117C"/>
    <w:rsid w:val="00131DF0"/>
    <w:rsid w:val="0013219D"/>
    <w:rsid w:val="00133D89"/>
    <w:rsid w:val="0013480A"/>
    <w:rsid w:val="001359E2"/>
    <w:rsid w:val="00137610"/>
    <w:rsid w:val="0014268A"/>
    <w:rsid w:val="00143A9F"/>
    <w:rsid w:val="00144A7E"/>
    <w:rsid w:val="00144F05"/>
    <w:rsid w:val="0014590E"/>
    <w:rsid w:val="00145F47"/>
    <w:rsid w:val="00146C9C"/>
    <w:rsid w:val="00147152"/>
    <w:rsid w:val="00147787"/>
    <w:rsid w:val="00152E26"/>
    <w:rsid w:val="00153503"/>
    <w:rsid w:val="0015508B"/>
    <w:rsid w:val="001551CA"/>
    <w:rsid w:val="00156010"/>
    <w:rsid w:val="001571F4"/>
    <w:rsid w:val="00157844"/>
    <w:rsid w:val="00160816"/>
    <w:rsid w:val="0016159A"/>
    <w:rsid w:val="00161E7F"/>
    <w:rsid w:val="00162EF4"/>
    <w:rsid w:val="001634D5"/>
    <w:rsid w:val="00164856"/>
    <w:rsid w:val="00165277"/>
    <w:rsid w:val="00165E15"/>
    <w:rsid w:val="001678E9"/>
    <w:rsid w:val="00170B30"/>
    <w:rsid w:val="00171F43"/>
    <w:rsid w:val="00173BD3"/>
    <w:rsid w:val="0017449D"/>
    <w:rsid w:val="001747FB"/>
    <w:rsid w:val="00175E16"/>
    <w:rsid w:val="0017707B"/>
    <w:rsid w:val="001848FF"/>
    <w:rsid w:val="0018755A"/>
    <w:rsid w:val="00190146"/>
    <w:rsid w:val="0019272C"/>
    <w:rsid w:val="00193862"/>
    <w:rsid w:val="001A04DF"/>
    <w:rsid w:val="001A08AC"/>
    <w:rsid w:val="001A17EB"/>
    <w:rsid w:val="001A30C5"/>
    <w:rsid w:val="001A503A"/>
    <w:rsid w:val="001A51B4"/>
    <w:rsid w:val="001B18D8"/>
    <w:rsid w:val="001B1E7F"/>
    <w:rsid w:val="001B6961"/>
    <w:rsid w:val="001B7B56"/>
    <w:rsid w:val="001C0DC2"/>
    <w:rsid w:val="001C12D0"/>
    <w:rsid w:val="001C1E52"/>
    <w:rsid w:val="001C201D"/>
    <w:rsid w:val="001C3EA0"/>
    <w:rsid w:val="001C54F5"/>
    <w:rsid w:val="001C62BF"/>
    <w:rsid w:val="001D10F6"/>
    <w:rsid w:val="001D3E43"/>
    <w:rsid w:val="001D5C31"/>
    <w:rsid w:val="001D77D2"/>
    <w:rsid w:val="001D7D18"/>
    <w:rsid w:val="001E05E9"/>
    <w:rsid w:val="001E0886"/>
    <w:rsid w:val="001E099D"/>
    <w:rsid w:val="001E16B9"/>
    <w:rsid w:val="001E1BE6"/>
    <w:rsid w:val="001E2394"/>
    <w:rsid w:val="001E6AF5"/>
    <w:rsid w:val="001E70AD"/>
    <w:rsid w:val="001F158B"/>
    <w:rsid w:val="001F3252"/>
    <w:rsid w:val="001F55E4"/>
    <w:rsid w:val="001F7460"/>
    <w:rsid w:val="00201716"/>
    <w:rsid w:val="00203039"/>
    <w:rsid w:val="002031C3"/>
    <w:rsid w:val="00203468"/>
    <w:rsid w:val="00206603"/>
    <w:rsid w:val="00207EDB"/>
    <w:rsid w:val="00211309"/>
    <w:rsid w:val="0021153E"/>
    <w:rsid w:val="00211689"/>
    <w:rsid w:val="00211788"/>
    <w:rsid w:val="00211CFD"/>
    <w:rsid w:val="00211E83"/>
    <w:rsid w:val="00212D4F"/>
    <w:rsid w:val="00212EC4"/>
    <w:rsid w:val="00214058"/>
    <w:rsid w:val="002157BE"/>
    <w:rsid w:val="00216BBF"/>
    <w:rsid w:val="00217159"/>
    <w:rsid w:val="00217645"/>
    <w:rsid w:val="00217F12"/>
    <w:rsid w:val="00221516"/>
    <w:rsid w:val="00221D2F"/>
    <w:rsid w:val="00224219"/>
    <w:rsid w:val="00227E0E"/>
    <w:rsid w:val="002304F1"/>
    <w:rsid w:val="00230A94"/>
    <w:rsid w:val="00231B45"/>
    <w:rsid w:val="00232A19"/>
    <w:rsid w:val="0023333B"/>
    <w:rsid w:val="0023413F"/>
    <w:rsid w:val="002344A6"/>
    <w:rsid w:val="00236F41"/>
    <w:rsid w:val="00240B58"/>
    <w:rsid w:val="00240C3D"/>
    <w:rsid w:val="0024126C"/>
    <w:rsid w:val="00241472"/>
    <w:rsid w:val="002414C0"/>
    <w:rsid w:val="002423DA"/>
    <w:rsid w:val="002441DA"/>
    <w:rsid w:val="002445B8"/>
    <w:rsid w:val="0024478D"/>
    <w:rsid w:val="00244D0F"/>
    <w:rsid w:val="0024507C"/>
    <w:rsid w:val="00246A4A"/>
    <w:rsid w:val="00250ACB"/>
    <w:rsid w:val="00251298"/>
    <w:rsid w:val="00252CD0"/>
    <w:rsid w:val="00254F82"/>
    <w:rsid w:val="00255048"/>
    <w:rsid w:val="002574C2"/>
    <w:rsid w:val="0026237C"/>
    <w:rsid w:val="002637AE"/>
    <w:rsid w:val="00264407"/>
    <w:rsid w:val="00264534"/>
    <w:rsid w:val="002648E2"/>
    <w:rsid w:val="00265413"/>
    <w:rsid w:val="002662E0"/>
    <w:rsid w:val="00267807"/>
    <w:rsid w:val="00271A57"/>
    <w:rsid w:val="002724AC"/>
    <w:rsid w:val="00272682"/>
    <w:rsid w:val="0027294D"/>
    <w:rsid w:val="00274799"/>
    <w:rsid w:val="00275306"/>
    <w:rsid w:val="00276C88"/>
    <w:rsid w:val="0027738D"/>
    <w:rsid w:val="00277BC6"/>
    <w:rsid w:val="0028009C"/>
    <w:rsid w:val="0028146A"/>
    <w:rsid w:val="002819CD"/>
    <w:rsid w:val="0028205C"/>
    <w:rsid w:val="002833FF"/>
    <w:rsid w:val="00283639"/>
    <w:rsid w:val="00283E04"/>
    <w:rsid w:val="0028429D"/>
    <w:rsid w:val="002847F8"/>
    <w:rsid w:val="002848B2"/>
    <w:rsid w:val="00285ADD"/>
    <w:rsid w:val="00286166"/>
    <w:rsid w:val="00287DEA"/>
    <w:rsid w:val="00291892"/>
    <w:rsid w:val="0029193E"/>
    <w:rsid w:val="00291DD6"/>
    <w:rsid w:val="00292409"/>
    <w:rsid w:val="002955FD"/>
    <w:rsid w:val="002962EE"/>
    <w:rsid w:val="002B214C"/>
    <w:rsid w:val="002B263D"/>
    <w:rsid w:val="002B4DA0"/>
    <w:rsid w:val="002B58FC"/>
    <w:rsid w:val="002B6639"/>
    <w:rsid w:val="002C2659"/>
    <w:rsid w:val="002C3806"/>
    <w:rsid w:val="002C4604"/>
    <w:rsid w:val="002C5287"/>
    <w:rsid w:val="002C5DA7"/>
    <w:rsid w:val="002C6E6E"/>
    <w:rsid w:val="002D75D5"/>
    <w:rsid w:val="002D7ABF"/>
    <w:rsid w:val="002D7CF4"/>
    <w:rsid w:val="002E01B8"/>
    <w:rsid w:val="002E09A7"/>
    <w:rsid w:val="002E1C0F"/>
    <w:rsid w:val="002E2E21"/>
    <w:rsid w:val="002E3B8E"/>
    <w:rsid w:val="002E4023"/>
    <w:rsid w:val="002E43D8"/>
    <w:rsid w:val="002E5AE2"/>
    <w:rsid w:val="002E69D7"/>
    <w:rsid w:val="002E6C6E"/>
    <w:rsid w:val="002E7094"/>
    <w:rsid w:val="002E7EC8"/>
    <w:rsid w:val="002F0221"/>
    <w:rsid w:val="002F03C9"/>
    <w:rsid w:val="002F460B"/>
    <w:rsid w:val="002F4CB5"/>
    <w:rsid w:val="002F52A6"/>
    <w:rsid w:val="002F53E3"/>
    <w:rsid w:val="002F60D5"/>
    <w:rsid w:val="003008D4"/>
    <w:rsid w:val="00301DFA"/>
    <w:rsid w:val="003020E4"/>
    <w:rsid w:val="00302A6A"/>
    <w:rsid w:val="00303801"/>
    <w:rsid w:val="003039ED"/>
    <w:rsid w:val="00305A8B"/>
    <w:rsid w:val="00306675"/>
    <w:rsid w:val="00311D51"/>
    <w:rsid w:val="00312360"/>
    <w:rsid w:val="003128C6"/>
    <w:rsid w:val="00313D78"/>
    <w:rsid w:val="003210D0"/>
    <w:rsid w:val="003212B8"/>
    <w:rsid w:val="00321538"/>
    <w:rsid w:val="00321D37"/>
    <w:rsid w:val="00322138"/>
    <w:rsid w:val="0032377F"/>
    <w:rsid w:val="003242D8"/>
    <w:rsid w:val="00324F88"/>
    <w:rsid w:val="00325E41"/>
    <w:rsid w:val="00326F84"/>
    <w:rsid w:val="00327221"/>
    <w:rsid w:val="0032799F"/>
    <w:rsid w:val="003303F9"/>
    <w:rsid w:val="00330B73"/>
    <w:rsid w:val="00332BD9"/>
    <w:rsid w:val="00333C6C"/>
    <w:rsid w:val="00333EE8"/>
    <w:rsid w:val="00335D98"/>
    <w:rsid w:val="003375B9"/>
    <w:rsid w:val="003377F6"/>
    <w:rsid w:val="0033782B"/>
    <w:rsid w:val="0034009E"/>
    <w:rsid w:val="0034237F"/>
    <w:rsid w:val="0034280D"/>
    <w:rsid w:val="00342F66"/>
    <w:rsid w:val="003435F5"/>
    <w:rsid w:val="003436D9"/>
    <w:rsid w:val="0034497A"/>
    <w:rsid w:val="00344F7F"/>
    <w:rsid w:val="00345948"/>
    <w:rsid w:val="0034615A"/>
    <w:rsid w:val="0035017C"/>
    <w:rsid w:val="003501D8"/>
    <w:rsid w:val="00351D81"/>
    <w:rsid w:val="00352A23"/>
    <w:rsid w:val="00352AEE"/>
    <w:rsid w:val="003604AB"/>
    <w:rsid w:val="00361A07"/>
    <w:rsid w:val="00361DEC"/>
    <w:rsid w:val="00363537"/>
    <w:rsid w:val="0037332B"/>
    <w:rsid w:val="003737F5"/>
    <w:rsid w:val="00373C83"/>
    <w:rsid w:val="003746B4"/>
    <w:rsid w:val="00374724"/>
    <w:rsid w:val="00374A64"/>
    <w:rsid w:val="0037576D"/>
    <w:rsid w:val="00376B7F"/>
    <w:rsid w:val="00377D7A"/>
    <w:rsid w:val="00381395"/>
    <w:rsid w:val="00382706"/>
    <w:rsid w:val="003832FA"/>
    <w:rsid w:val="00384340"/>
    <w:rsid w:val="0038445D"/>
    <w:rsid w:val="00384B39"/>
    <w:rsid w:val="003855F0"/>
    <w:rsid w:val="00385F51"/>
    <w:rsid w:val="003903F3"/>
    <w:rsid w:val="00390D69"/>
    <w:rsid w:val="003913CE"/>
    <w:rsid w:val="00393DCA"/>
    <w:rsid w:val="00393EC2"/>
    <w:rsid w:val="00394738"/>
    <w:rsid w:val="00394F75"/>
    <w:rsid w:val="00395195"/>
    <w:rsid w:val="00396164"/>
    <w:rsid w:val="00397941"/>
    <w:rsid w:val="003A133C"/>
    <w:rsid w:val="003A203F"/>
    <w:rsid w:val="003A260B"/>
    <w:rsid w:val="003A3163"/>
    <w:rsid w:val="003A50A3"/>
    <w:rsid w:val="003A51FE"/>
    <w:rsid w:val="003A57A7"/>
    <w:rsid w:val="003A5A12"/>
    <w:rsid w:val="003A5FF1"/>
    <w:rsid w:val="003A692A"/>
    <w:rsid w:val="003A6F06"/>
    <w:rsid w:val="003B017A"/>
    <w:rsid w:val="003B194C"/>
    <w:rsid w:val="003B29F9"/>
    <w:rsid w:val="003B334E"/>
    <w:rsid w:val="003B54C1"/>
    <w:rsid w:val="003B640B"/>
    <w:rsid w:val="003B77F6"/>
    <w:rsid w:val="003C2731"/>
    <w:rsid w:val="003C3287"/>
    <w:rsid w:val="003C6E67"/>
    <w:rsid w:val="003D53B9"/>
    <w:rsid w:val="003D7E75"/>
    <w:rsid w:val="003E0E3F"/>
    <w:rsid w:val="003E1D1B"/>
    <w:rsid w:val="003E7D2E"/>
    <w:rsid w:val="003F0B5A"/>
    <w:rsid w:val="003F1041"/>
    <w:rsid w:val="003F2BB5"/>
    <w:rsid w:val="003F3B8B"/>
    <w:rsid w:val="003F4BC7"/>
    <w:rsid w:val="003F54C7"/>
    <w:rsid w:val="003F7509"/>
    <w:rsid w:val="003F77B7"/>
    <w:rsid w:val="004031E2"/>
    <w:rsid w:val="00403652"/>
    <w:rsid w:val="00405CCC"/>
    <w:rsid w:val="00406F62"/>
    <w:rsid w:val="00411A92"/>
    <w:rsid w:val="004168FF"/>
    <w:rsid w:val="004219DD"/>
    <w:rsid w:val="00423EB3"/>
    <w:rsid w:val="004257CD"/>
    <w:rsid w:val="00425C78"/>
    <w:rsid w:val="00426EBC"/>
    <w:rsid w:val="0043064A"/>
    <w:rsid w:val="00430C06"/>
    <w:rsid w:val="00432491"/>
    <w:rsid w:val="00432DE0"/>
    <w:rsid w:val="0043383F"/>
    <w:rsid w:val="0043482F"/>
    <w:rsid w:val="0043698B"/>
    <w:rsid w:val="00436BBC"/>
    <w:rsid w:val="00437C18"/>
    <w:rsid w:val="0044061D"/>
    <w:rsid w:val="004409A2"/>
    <w:rsid w:val="004416B2"/>
    <w:rsid w:val="00442575"/>
    <w:rsid w:val="0044428A"/>
    <w:rsid w:val="00444433"/>
    <w:rsid w:val="00444F85"/>
    <w:rsid w:val="0044659B"/>
    <w:rsid w:val="00450965"/>
    <w:rsid w:val="00450B70"/>
    <w:rsid w:val="00451627"/>
    <w:rsid w:val="00451975"/>
    <w:rsid w:val="00453916"/>
    <w:rsid w:val="00460D51"/>
    <w:rsid w:val="004623F8"/>
    <w:rsid w:val="0046241B"/>
    <w:rsid w:val="004655F3"/>
    <w:rsid w:val="00467043"/>
    <w:rsid w:val="0047050B"/>
    <w:rsid w:val="00470D23"/>
    <w:rsid w:val="00471B5C"/>
    <w:rsid w:val="00473C66"/>
    <w:rsid w:val="00476757"/>
    <w:rsid w:val="00477F9B"/>
    <w:rsid w:val="00480076"/>
    <w:rsid w:val="00481764"/>
    <w:rsid w:val="00482247"/>
    <w:rsid w:val="00483B68"/>
    <w:rsid w:val="004844CE"/>
    <w:rsid w:val="00484513"/>
    <w:rsid w:val="004848EA"/>
    <w:rsid w:val="0048589B"/>
    <w:rsid w:val="00485B2C"/>
    <w:rsid w:val="004875BD"/>
    <w:rsid w:val="00490EC0"/>
    <w:rsid w:val="004923AD"/>
    <w:rsid w:val="0049289B"/>
    <w:rsid w:val="00493A68"/>
    <w:rsid w:val="00494FC7"/>
    <w:rsid w:val="004960DF"/>
    <w:rsid w:val="004961EE"/>
    <w:rsid w:val="004966FD"/>
    <w:rsid w:val="00497B92"/>
    <w:rsid w:val="00497E48"/>
    <w:rsid w:val="004A07CA"/>
    <w:rsid w:val="004A1FB1"/>
    <w:rsid w:val="004A2DC0"/>
    <w:rsid w:val="004A3530"/>
    <w:rsid w:val="004A47D3"/>
    <w:rsid w:val="004A4EEF"/>
    <w:rsid w:val="004A5C8D"/>
    <w:rsid w:val="004A65E0"/>
    <w:rsid w:val="004A70C7"/>
    <w:rsid w:val="004A73DD"/>
    <w:rsid w:val="004A79F2"/>
    <w:rsid w:val="004B1062"/>
    <w:rsid w:val="004B1C68"/>
    <w:rsid w:val="004B2D2A"/>
    <w:rsid w:val="004B522B"/>
    <w:rsid w:val="004B5466"/>
    <w:rsid w:val="004B6DA1"/>
    <w:rsid w:val="004B7FFA"/>
    <w:rsid w:val="004C1F6D"/>
    <w:rsid w:val="004C2A9C"/>
    <w:rsid w:val="004C608F"/>
    <w:rsid w:val="004D16AE"/>
    <w:rsid w:val="004D1760"/>
    <w:rsid w:val="004D524A"/>
    <w:rsid w:val="004D5855"/>
    <w:rsid w:val="004D5939"/>
    <w:rsid w:val="004D6AAC"/>
    <w:rsid w:val="004E1482"/>
    <w:rsid w:val="004E417C"/>
    <w:rsid w:val="004E5306"/>
    <w:rsid w:val="004E55D8"/>
    <w:rsid w:val="004E5ED4"/>
    <w:rsid w:val="004E617F"/>
    <w:rsid w:val="004E6B4B"/>
    <w:rsid w:val="004E77C8"/>
    <w:rsid w:val="004F0A09"/>
    <w:rsid w:val="004F1418"/>
    <w:rsid w:val="004F394F"/>
    <w:rsid w:val="004F5061"/>
    <w:rsid w:val="004F55F8"/>
    <w:rsid w:val="004F66B4"/>
    <w:rsid w:val="00505593"/>
    <w:rsid w:val="0050572D"/>
    <w:rsid w:val="00506D73"/>
    <w:rsid w:val="005102D8"/>
    <w:rsid w:val="005107AA"/>
    <w:rsid w:val="005144EB"/>
    <w:rsid w:val="00514F98"/>
    <w:rsid w:val="00515C99"/>
    <w:rsid w:val="00515E37"/>
    <w:rsid w:val="00516A1D"/>
    <w:rsid w:val="00516EA2"/>
    <w:rsid w:val="0051721E"/>
    <w:rsid w:val="005224AE"/>
    <w:rsid w:val="00522C46"/>
    <w:rsid w:val="00525D0F"/>
    <w:rsid w:val="005265B2"/>
    <w:rsid w:val="0052766B"/>
    <w:rsid w:val="00530FD9"/>
    <w:rsid w:val="005320B8"/>
    <w:rsid w:val="00532CAF"/>
    <w:rsid w:val="00533364"/>
    <w:rsid w:val="0053410F"/>
    <w:rsid w:val="005351B4"/>
    <w:rsid w:val="00535A32"/>
    <w:rsid w:val="005373BF"/>
    <w:rsid w:val="00540689"/>
    <w:rsid w:val="00540A9B"/>
    <w:rsid w:val="00543715"/>
    <w:rsid w:val="00543F48"/>
    <w:rsid w:val="005457A7"/>
    <w:rsid w:val="0054589B"/>
    <w:rsid w:val="00545ECF"/>
    <w:rsid w:val="0055041C"/>
    <w:rsid w:val="00551158"/>
    <w:rsid w:val="00552E85"/>
    <w:rsid w:val="00557145"/>
    <w:rsid w:val="005574E6"/>
    <w:rsid w:val="00562414"/>
    <w:rsid w:val="005628E7"/>
    <w:rsid w:val="0056405F"/>
    <w:rsid w:val="00565F43"/>
    <w:rsid w:val="005669B0"/>
    <w:rsid w:val="00567E31"/>
    <w:rsid w:val="00572A96"/>
    <w:rsid w:val="00572B39"/>
    <w:rsid w:val="00573651"/>
    <w:rsid w:val="0057406E"/>
    <w:rsid w:val="005741B6"/>
    <w:rsid w:val="00574953"/>
    <w:rsid w:val="005763B5"/>
    <w:rsid w:val="005820B0"/>
    <w:rsid w:val="00582B29"/>
    <w:rsid w:val="0058370B"/>
    <w:rsid w:val="00583D01"/>
    <w:rsid w:val="00584A48"/>
    <w:rsid w:val="005864B0"/>
    <w:rsid w:val="005874AB"/>
    <w:rsid w:val="00587CB9"/>
    <w:rsid w:val="00590112"/>
    <w:rsid w:val="005923D5"/>
    <w:rsid w:val="00594471"/>
    <w:rsid w:val="0059456A"/>
    <w:rsid w:val="005946B9"/>
    <w:rsid w:val="005948C6"/>
    <w:rsid w:val="005952FD"/>
    <w:rsid w:val="00596912"/>
    <w:rsid w:val="005970E3"/>
    <w:rsid w:val="005A0BC0"/>
    <w:rsid w:val="005A1BF9"/>
    <w:rsid w:val="005A37D3"/>
    <w:rsid w:val="005A39CE"/>
    <w:rsid w:val="005A6B21"/>
    <w:rsid w:val="005A7353"/>
    <w:rsid w:val="005B0D17"/>
    <w:rsid w:val="005B1282"/>
    <w:rsid w:val="005B19E9"/>
    <w:rsid w:val="005B2204"/>
    <w:rsid w:val="005B33BC"/>
    <w:rsid w:val="005B4CFB"/>
    <w:rsid w:val="005B4DB0"/>
    <w:rsid w:val="005B512B"/>
    <w:rsid w:val="005B61DF"/>
    <w:rsid w:val="005B760A"/>
    <w:rsid w:val="005B79F5"/>
    <w:rsid w:val="005C0E3F"/>
    <w:rsid w:val="005C0F8A"/>
    <w:rsid w:val="005C1C46"/>
    <w:rsid w:val="005C239F"/>
    <w:rsid w:val="005C258C"/>
    <w:rsid w:val="005C25CF"/>
    <w:rsid w:val="005C2D80"/>
    <w:rsid w:val="005C315B"/>
    <w:rsid w:val="005C31E9"/>
    <w:rsid w:val="005C3793"/>
    <w:rsid w:val="005C4563"/>
    <w:rsid w:val="005C5CE0"/>
    <w:rsid w:val="005C692B"/>
    <w:rsid w:val="005C6FE4"/>
    <w:rsid w:val="005C7E02"/>
    <w:rsid w:val="005D00E3"/>
    <w:rsid w:val="005D024E"/>
    <w:rsid w:val="005D0725"/>
    <w:rsid w:val="005D0E02"/>
    <w:rsid w:val="005D2A72"/>
    <w:rsid w:val="005D3819"/>
    <w:rsid w:val="005D4D04"/>
    <w:rsid w:val="005D73AA"/>
    <w:rsid w:val="005E0FBB"/>
    <w:rsid w:val="005E2E11"/>
    <w:rsid w:val="005E448B"/>
    <w:rsid w:val="005E485F"/>
    <w:rsid w:val="005F0160"/>
    <w:rsid w:val="005F2693"/>
    <w:rsid w:val="005F4328"/>
    <w:rsid w:val="005F4C69"/>
    <w:rsid w:val="005F5BC9"/>
    <w:rsid w:val="005F66D0"/>
    <w:rsid w:val="005F6F71"/>
    <w:rsid w:val="005F7998"/>
    <w:rsid w:val="00601551"/>
    <w:rsid w:val="0060210B"/>
    <w:rsid w:val="00602E9B"/>
    <w:rsid w:val="00603F84"/>
    <w:rsid w:val="00606922"/>
    <w:rsid w:val="00607319"/>
    <w:rsid w:val="00610026"/>
    <w:rsid w:val="00610059"/>
    <w:rsid w:val="0061099D"/>
    <w:rsid w:val="00610C48"/>
    <w:rsid w:val="00610FA5"/>
    <w:rsid w:val="0061373D"/>
    <w:rsid w:val="00613969"/>
    <w:rsid w:val="006144E0"/>
    <w:rsid w:val="006153EC"/>
    <w:rsid w:val="0061630B"/>
    <w:rsid w:val="00621A57"/>
    <w:rsid w:val="00626338"/>
    <w:rsid w:val="00633DCD"/>
    <w:rsid w:val="00634DD1"/>
    <w:rsid w:val="00637E0E"/>
    <w:rsid w:val="00637F65"/>
    <w:rsid w:val="00641C43"/>
    <w:rsid w:val="006427C7"/>
    <w:rsid w:val="00644397"/>
    <w:rsid w:val="00645EE8"/>
    <w:rsid w:val="006460C1"/>
    <w:rsid w:val="00646638"/>
    <w:rsid w:val="00646CAC"/>
    <w:rsid w:val="00650A4A"/>
    <w:rsid w:val="00650BD4"/>
    <w:rsid w:val="0065292D"/>
    <w:rsid w:val="0065388F"/>
    <w:rsid w:val="0065452E"/>
    <w:rsid w:val="0065484D"/>
    <w:rsid w:val="00656248"/>
    <w:rsid w:val="00660F63"/>
    <w:rsid w:val="00662212"/>
    <w:rsid w:val="006626CE"/>
    <w:rsid w:val="0066458C"/>
    <w:rsid w:val="00664FE8"/>
    <w:rsid w:val="006653B6"/>
    <w:rsid w:val="00665BA9"/>
    <w:rsid w:val="00666BF1"/>
    <w:rsid w:val="006717EC"/>
    <w:rsid w:val="006730A6"/>
    <w:rsid w:val="0067387E"/>
    <w:rsid w:val="006747A9"/>
    <w:rsid w:val="00674E25"/>
    <w:rsid w:val="00676CAB"/>
    <w:rsid w:val="0067709C"/>
    <w:rsid w:val="006806FA"/>
    <w:rsid w:val="006817D6"/>
    <w:rsid w:val="00681F5E"/>
    <w:rsid w:val="0068212A"/>
    <w:rsid w:val="0068233E"/>
    <w:rsid w:val="00682985"/>
    <w:rsid w:val="00683A41"/>
    <w:rsid w:val="00684ADF"/>
    <w:rsid w:val="00686BBB"/>
    <w:rsid w:val="00690BDC"/>
    <w:rsid w:val="00691E2C"/>
    <w:rsid w:val="006930EF"/>
    <w:rsid w:val="006933E0"/>
    <w:rsid w:val="00694ED0"/>
    <w:rsid w:val="00697BE0"/>
    <w:rsid w:val="006A0BA2"/>
    <w:rsid w:val="006A3502"/>
    <w:rsid w:val="006A5350"/>
    <w:rsid w:val="006A5BA7"/>
    <w:rsid w:val="006A69E1"/>
    <w:rsid w:val="006A6A94"/>
    <w:rsid w:val="006A74CA"/>
    <w:rsid w:val="006B01FC"/>
    <w:rsid w:val="006B042F"/>
    <w:rsid w:val="006B4E03"/>
    <w:rsid w:val="006B59B5"/>
    <w:rsid w:val="006B6677"/>
    <w:rsid w:val="006B6A50"/>
    <w:rsid w:val="006B6FFB"/>
    <w:rsid w:val="006B7D76"/>
    <w:rsid w:val="006B7DCF"/>
    <w:rsid w:val="006C0DAB"/>
    <w:rsid w:val="006C0E4C"/>
    <w:rsid w:val="006C344C"/>
    <w:rsid w:val="006C3E21"/>
    <w:rsid w:val="006C4B7C"/>
    <w:rsid w:val="006C5EE8"/>
    <w:rsid w:val="006C6E55"/>
    <w:rsid w:val="006C7822"/>
    <w:rsid w:val="006D3433"/>
    <w:rsid w:val="006D4A3E"/>
    <w:rsid w:val="006D76F6"/>
    <w:rsid w:val="006E06F6"/>
    <w:rsid w:val="006E0927"/>
    <w:rsid w:val="006E28F5"/>
    <w:rsid w:val="006E3E78"/>
    <w:rsid w:val="006E51A3"/>
    <w:rsid w:val="006F0113"/>
    <w:rsid w:val="006F0998"/>
    <w:rsid w:val="006F1732"/>
    <w:rsid w:val="006F28FC"/>
    <w:rsid w:val="006F38D7"/>
    <w:rsid w:val="006F3F46"/>
    <w:rsid w:val="006F4CA3"/>
    <w:rsid w:val="006F7554"/>
    <w:rsid w:val="006F7B4A"/>
    <w:rsid w:val="0070120A"/>
    <w:rsid w:val="0070195C"/>
    <w:rsid w:val="00703F34"/>
    <w:rsid w:val="0070477B"/>
    <w:rsid w:val="00704E84"/>
    <w:rsid w:val="00705542"/>
    <w:rsid w:val="007058EE"/>
    <w:rsid w:val="007061DA"/>
    <w:rsid w:val="0070731B"/>
    <w:rsid w:val="00712753"/>
    <w:rsid w:val="007129AB"/>
    <w:rsid w:val="00714D45"/>
    <w:rsid w:val="00714F2D"/>
    <w:rsid w:val="00715FA1"/>
    <w:rsid w:val="007162FE"/>
    <w:rsid w:val="00721FA6"/>
    <w:rsid w:val="007232C8"/>
    <w:rsid w:val="00724003"/>
    <w:rsid w:val="00724793"/>
    <w:rsid w:val="0072550F"/>
    <w:rsid w:val="007263CE"/>
    <w:rsid w:val="007278D2"/>
    <w:rsid w:val="00730741"/>
    <w:rsid w:val="00731932"/>
    <w:rsid w:val="007336BA"/>
    <w:rsid w:val="007355DC"/>
    <w:rsid w:val="007360B0"/>
    <w:rsid w:val="00741B87"/>
    <w:rsid w:val="00743587"/>
    <w:rsid w:val="007444D4"/>
    <w:rsid w:val="0074549E"/>
    <w:rsid w:val="00746442"/>
    <w:rsid w:val="00752C24"/>
    <w:rsid w:val="00757292"/>
    <w:rsid w:val="007621C9"/>
    <w:rsid w:val="00764A26"/>
    <w:rsid w:val="00765414"/>
    <w:rsid w:val="00771D34"/>
    <w:rsid w:val="00774448"/>
    <w:rsid w:val="00774505"/>
    <w:rsid w:val="00775BC3"/>
    <w:rsid w:val="00775F38"/>
    <w:rsid w:val="007779ED"/>
    <w:rsid w:val="00784434"/>
    <w:rsid w:val="007854A5"/>
    <w:rsid w:val="00785CA1"/>
    <w:rsid w:val="007878B4"/>
    <w:rsid w:val="00787B6A"/>
    <w:rsid w:val="0079069A"/>
    <w:rsid w:val="00790F56"/>
    <w:rsid w:val="00791096"/>
    <w:rsid w:val="00791110"/>
    <w:rsid w:val="007914D9"/>
    <w:rsid w:val="0079480B"/>
    <w:rsid w:val="00794D05"/>
    <w:rsid w:val="00797733"/>
    <w:rsid w:val="007978E0"/>
    <w:rsid w:val="00797ECC"/>
    <w:rsid w:val="007A01CD"/>
    <w:rsid w:val="007A02FB"/>
    <w:rsid w:val="007A0C10"/>
    <w:rsid w:val="007A18B8"/>
    <w:rsid w:val="007A1B99"/>
    <w:rsid w:val="007A394C"/>
    <w:rsid w:val="007A3D86"/>
    <w:rsid w:val="007A4F4F"/>
    <w:rsid w:val="007A4F56"/>
    <w:rsid w:val="007A6769"/>
    <w:rsid w:val="007A740C"/>
    <w:rsid w:val="007A795D"/>
    <w:rsid w:val="007B05C9"/>
    <w:rsid w:val="007B10AF"/>
    <w:rsid w:val="007B2638"/>
    <w:rsid w:val="007B3135"/>
    <w:rsid w:val="007B7392"/>
    <w:rsid w:val="007B7F53"/>
    <w:rsid w:val="007C462D"/>
    <w:rsid w:val="007C5087"/>
    <w:rsid w:val="007C7010"/>
    <w:rsid w:val="007D3806"/>
    <w:rsid w:val="007D3F4B"/>
    <w:rsid w:val="007D4FF3"/>
    <w:rsid w:val="007D602D"/>
    <w:rsid w:val="007D6963"/>
    <w:rsid w:val="007E05B9"/>
    <w:rsid w:val="007E0841"/>
    <w:rsid w:val="007E1938"/>
    <w:rsid w:val="007E3117"/>
    <w:rsid w:val="007E334A"/>
    <w:rsid w:val="007F05D8"/>
    <w:rsid w:val="007F0647"/>
    <w:rsid w:val="007F2447"/>
    <w:rsid w:val="007F34C9"/>
    <w:rsid w:val="007F3946"/>
    <w:rsid w:val="007F527E"/>
    <w:rsid w:val="007F59EE"/>
    <w:rsid w:val="007F649A"/>
    <w:rsid w:val="007F6D4C"/>
    <w:rsid w:val="007F6FC0"/>
    <w:rsid w:val="007F7AEC"/>
    <w:rsid w:val="0080007E"/>
    <w:rsid w:val="0080094C"/>
    <w:rsid w:val="00801524"/>
    <w:rsid w:val="00801ACB"/>
    <w:rsid w:val="00804C9E"/>
    <w:rsid w:val="00810067"/>
    <w:rsid w:val="0081068D"/>
    <w:rsid w:val="00812753"/>
    <w:rsid w:val="00813064"/>
    <w:rsid w:val="008147C7"/>
    <w:rsid w:val="008149EB"/>
    <w:rsid w:val="0081592B"/>
    <w:rsid w:val="00820E80"/>
    <w:rsid w:val="00820F70"/>
    <w:rsid w:val="00822661"/>
    <w:rsid w:val="00825645"/>
    <w:rsid w:val="00830419"/>
    <w:rsid w:val="0083190E"/>
    <w:rsid w:val="00832A8A"/>
    <w:rsid w:val="008340F6"/>
    <w:rsid w:val="00834578"/>
    <w:rsid w:val="00836C86"/>
    <w:rsid w:val="00843D0D"/>
    <w:rsid w:val="00844778"/>
    <w:rsid w:val="00846628"/>
    <w:rsid w:val="00846E83"/>
    <w:rsid w:val="008473FE"/>
    <w:rsid w:val="008503B0"/>
    <w:rsid w:val="00851958"/>
    <w:rsid w:val="00851BDF"/>
    <w:rsid w:val="00851DAB"/>
    <w:rsid w:val="0085288A"/>
    <w:rsid w:val="0085307C"/>
    <w:rsid w:val="008563AE"/>
    <w:rsid w:val="00856B78"/>
    <w:rsid w:val="0086767A"/>
    <w:rsid w:val="0087082A"/>
    <w:rsid w:val="00871F05"/>
    <w:rsid w:val="00872967"/>
    <w:rsid w:val="0087432A"/>
    <w:rsid w:val="00874E04"/>
    <w:rsid w:val="00877556"/>
    <w:rsid w:val="0087782D"/>
    <w:rsid w:val="0088132B"/>
    <w:rsid w:val="008818AE"/>
    <w:rsid w:val="0088238D"/>
    <w:rsid w:val="00883217"/>
    <w:rsid w:val="008839BB"/>
    <w:rsid w:val="0088420E"/>
    <w:rsid w:val="008866FF"/>
    <w:rsid w:val="008869F6"/>
    <w:rsid w:val="00887D34"/>
    <w:rsid w:val="00890C77"/>
    <w:rsid w:val="00891C8F"/>
    <w:rsid w:val="008931AF"/>
    <w:rsid w:val="00893BD1"/>
    <w:rsid w:val="00894871"/>
    <w:rsid w:val="00894D96"/>
    <w:rsid w:val="00895D57"/>
    <w:rsid w:val="00895FD3"/>
    <w:rsid w:val="00896027"/>
    <w:rsid w:val="008A0033"/>
    <w:rsid w:val="008A19C7"/>
    <w:rsid w:val="008A3A3B"/>
    <w:rsid w:val="008A59AE"/>
    <w:rsid w:val="008A5F73"/>
    <w:rsid w:val="008A77D4"/>
    <w:rsid w:val="008B0AF9"/>
    <w:rsid w:val="008B157A"/>
    <w:rsid w:val="008B1816"/>
    <w:rsid w:val="008B2A43"/>
    <w:rsid w:val="008B36A9"/>
    <w:rsid w:val="008B44EB"/>
    <w:rsid w:val="008B584A"/>
    <w:rsid w:val="008B5BDF"/>
    <w:rsid w:val="008C02F4"/>
    <w:rsid w:val="008C32D8"/>
    <w:rsid w:val="008C478D"/>
    <w:rsid w:val="008C6129"/>
    <w:rsid w:val="008C6CC8"/>
    <w:rsid w:val="008C715F"/>
    <w:rsid w:val="008C79D0"/>
    <w:rsid w:val="008C7AEF"/>
    <w:rsid w:val="008D258F"/>
    <w:rsid w:val="008D3093"/>
    <w:rsid w:val="008D4BD4"/>
    <w:rsid w:val="008D70CC"/>
    <w:rsid w:val="008E02B9"/>
    <w:rsid w:val="008E0614"/>
    <w:rsid w:val="008E2A34"/>
    <w:rsid w:val="008E2C36"/>
    <w:rsid w:val="008E2DA8"/>
    <w:rsid w:val="008E47AC"/>
    <w:rsid w:val="008F0D9F"/>
    <w:rsid w:val="008F21F1"/>
    <w:rsid w:val="008F397B"/>
    <w:rsid w:val="008F3E3D"/>
    <w:rsid w:val="0090211A"/>
    <w:rsid w:val="0090221D"/>
    <w:rsid w:val="00903668"/>
    <w:rsid w:val="009041B5"/>
    <w:rsid w:val="00904362"/>
    <w:rsid w:val="009058BA"/>
    <w:rsid w:val="009070BA"/>
    <w:rsid w:val="009070F4"/>
    <w:rsid w:val="00910CD2"/>
    <w:rsid w:val="00910F20"/>
    <w:rsid w:val="009120FD"/>
    <w:rsid w:val="00916011"/>
    <w:rsid w:val="009175BF"/>
    <w:rsid w:val="00920527"/>
    <w:rsid w:val="00920552"/>
    <w:rsid w:val="0092265D"/>
    <w:rsid w:val="009231E1"/>
    <w:rsid w:val="00925280"/>
    <w:rsid w:val="009268D2"/>
    <w:rsid w:val="0093246A"/>
    <w:rsid w:val="0093272B"/>
    <w:rsid w:val="00932C93"/>
    <w:rsid w:val="00933F19"/>
    <w:rsid w:val="0093620D"/>
    <w:rsid w:val="0093672E"/>
    <w:rsid w:val="00936B37"/>
    <w:rsid w:val="00937F07"/>
    <w:rsid w:val="00940BE3"/>
    <w:rsid w:val="00940E1B"/>
    <w:rsid w:val="00943E36"/>
    <w:rsid w:val="00945EEA"/>
    <w:rsid w:val="00947C1C"/>
    <w:rsid w:val="0095062A"/>
    <w:rsid w:val="00952440"/>
    <w:rsid w:val="00955069"/>
    <w:rsid w:val="009577C7"/>
    <w:rsid w:val="00961510"/>
    <w:rsid w:val="009634B4"/>
    <w:rsid w:val="00964166"/>
    <w:rsid w:val="009647E1"/>
    <w:rsid w:val="00965296"/>
    <w:rsid w:val="009659AC"/>
    <w:rsid w:val="00966911"/>
    <w:rsid w:val="00970360"/>
    <w:rsid w:val="0097102A"/>
    <w:rsid w:val="009733B4"/>
    <w:rsid w:val="009744D7"/>
    <w:rsid w:val="00976327"/>
    <w:rsid w:val="00976B88"/>
    <w:rsid w:val="00981CF5"/>
    <w:rsid w:val="00983E46"/>
    <w:rsid w:val="00984B03"/>
    <w:rsid w:val="009854DA"/>
    <w:rsid w:val="009875DE"/>
    <w:rsid w:val="009876C8"/>
    <w:rsid w:val="00990AAB"/>
    <w:rsid w:val="00990EBF"/>
    <w:rsid w:val="00995130"/>
    <w:rsid w:val="00996765"/>
    <w:rsid w:val="009967B7"/>
    <w:rsid w:val="00997EEE"/>
    <w:rsid w:val="009A07A4"/>
    <w:rsid w:val="009A1303"/>
    <w:rsid w:val="009A2B38"/>
    <w:rsid w:val="009A34BF"/>
    <w:rsid w:val="009A3F40"/>
    <w:rsid w:val="009A4658"/>
    <w:rsid w:val="009A50EF"/>
    <w:rsid w:val="009A676D"/>
    <w:rsid w:val="009A775E"/>
    <w:rsid w:val="009B0A42"/>
    <w:rsid w:val="009B0CDA"/>
    <w:rsid w:val="009B3CC3"/>
    <w:rsid w:val="009B45EA"/>
    <w:rsid w:val="009B54EB"/>
    <w:rsid w:val="009B6D67"/>
    <w:rsid w:val="009C0D52"/>
    <w:rsid w:val="009C10F2"/>
    <w:rsid w:val="009C18EC"/>
    <w:rsid w:val="009C352E"/>
    <w:rsid w:val="009C3D22"/>
    <w:rsid w:val="009C3F9F"/>
    <w:rsid w:val="009C6E0E"/>
    <w:rsid w:val="009D0646"/>
    <w:rsid w:val="009D0C80"/>
    <w:rsid w:val="009D1BAE"/>
    <w:rsid w:val="009D2D35"/>
    <w:rsid w:val="009D3CAD"/>
    <w:rsid w:val="009D3F42"/>
    <w:rsid w:val="009D3F5B"/>
    <w:rsid w:val="009D55FD"/>
    <w:rsid w:val="009D5DB1"/>
    <w:rsid w:val="009D6390"/>
    <w:rsid w:val="009D6CB6"/>
    <w:rsid w:val="009D754C"/>
    <w:rsid w:val="009E3C52"/>
    <w:rsid w:val="009E3F62"/>
    <w:rsid w:val="009E49F6"/>
    <w:rsid w:val="009E4C8E"/>
    <w:rsid w:val="009E60A9"/>
    <w:rsid w:val="009E6EF5"/>
    <w:rsid w:val="009E7347"/>
    <w:rsid w:val="009F0675"/>
    <w:rsid w:val="009F2AC2"/>
    <w:rsid w:val="009F2E2B"/>
    <w:rsid w:val="009F38A0"/>
    <w:rsid w:val="009F42D7"/>
    <w:rsid w:val="009F47C6"/>
    <w:rsid w:val="009F7336"/>
    <w:rsid w:val="009F74AC"/>
    <w:rsid w:val="00A00750"/>
    <w:rsid w:val="00A01707"/>
    <w:rsid w:val="00A01994"/>
    <w:rsid w:val="00A01DB4"/>
    <w:rsid w:val="00A03D5C"/>
    <w:rsid w:val="00A043BC"/>
    <w:rsid w:val="00A04BED"/>
    <w:rsid w:val="00A057AD"/>
    <w:rsid w:val="00A05FAF"/>
    <w:rsid w:val="00A131D9"/>
    <w:rsid w:val="00A14ECF"/>
    <w:rsid w:val="00A16E22"/>
    <w:rsid w:val="00A16F26"/>
    <w:rsid w:val="00A17325"/>
    <w:rsid w:val="00A2223E"/>
    <w:rsid w:val="00A23C7A"/>
    <w:rsid w:val="00A23D47"/>
    <w:rsid w:val="00A25FC3"/>
    <w:rsid w:val="00A271D9"/>
    <w:rsid w:val="00A31984"/>
    <w:rsid w:val="00A32419"/>
    <w:rsid w:val="00A332FB"/>
    <w:rsid w:val="00A33FA9"/>
    <w:rsid w:val="00A3494C"/>
    <w:rsid w:val="00A36DDB"/>
    <w:rsid w:val="00A405D9"/>
    <w:rsid w:val="00A424CF"/>
    <w:rsid w:val="00A46D94"/>
    <w:rsid w:val="00A509FF"/>
    <w:rsid w:val="00A50B6C"/>
    <w:rsid w:val="00A539BB"/>
    <w:rsid w:val="00A53A9B"/>
    <w:rsid w:val="00A54628"/>
    <w:rsid w:val="00A568EC"/>
    <w:rsid w:val="00A56BB0"/>
    <w:rsid w:val="00A5709A"/>
    <w:rsid w:val="00A57176"/>
    <w:rsid w:val="00A60A33"/>
    <w:rsid w:val="00A61B83"/>
    <w:rsid w:val="00A62471"/>
    <w:rsid w:val="00A627B3"/>
    <w:rsid w:val="00A63205"/>
    <w:rsid w:val="00A63287"/>
    <w:rsid w:val="00A635E3"/>
    <w:rsid w:val="00A637A2"/>
    <w:rsid w:val="00A65A4B"/>
    <w:rsid w:val="00A707D6"/>
    <w:rsid w:val="00A70BA7"/>
    <w:rsid w:val="00A71E77"/>
    <w:rsid w:val="00A74B12"/>
    <w:rsid w:val="00A75A34"/>
    <w:rsid w:val="00A76D00"/>
    <w:rsid w:val="00A771A7"/>
    <w:rsid w:val="00A80F9D"/>
    <w:rsid w:val="00A82E8D"/>
    <w:rsid w:val="00A86B51"/>
    <w:rsid w:val="00A86B6F"/>
    <w:rsid w:val="00A878AA"/>
    <w:rsid w:val="00A90DD4"/>
    <w:rsid w:val="00A91C41"/>
    <w:rsid w:val="00A93799"/>
    <w:rsid w:val="00A94538"/>
    <w:rsid w:val="00A9482F"/>
    <w:rsid w:val="00A948D5"/>
    <w:rsid w:val="00AA0357"/>
    <w:rsid w:val="00AA1333"/>
    <w:rsid w:val="00AA18AF"/>
    <w:rsid w:val="00AA24F8"/>
    <w:rsid w:val="00AB687E"/>
    <w:rsid w:val="00AC0799"/>
    <w:rsid w:val="00AC32CC"/>
    <w:rsid w:val="00AC349E"/>
    <w:rsid w:val="00AD06BF"/>
    <w:rsid w:val="00AD24C1"/>
    <w:rsid w:val="00AD24D1"/>
    <w:rsid w:val="00AD2CB2"/>
    <w:rsid w:val="00AD32CE"/>
    <w:rsid w:val="00AD4798"/>
    <w:rsid w:val="00AD622C"/>
    <w:rsid w:val="00AD7001"/>
    <w:rsid w:val="00AD7199"/>
    <w:rsid w:val="00AE18BA"/>
    <w:rsid w:val="00AE19CC"/>
    <w:rsid w:val="00AE19FF"/>
    <w:rsid w:val="00AE2B61"/>
    <w:rsid w:val="00AE2E3B"/>
    <w:rsid w:val="00AE5D96"/>
    <w:rsid w:val="00AE66AB"/>
    <w:rsid w:val="00AE74CA"/>
    <w:rsid w:val="00AF1098"/>
    <w:rsid w:val="00AF3BDF"/>
    <w:rsid w:val="00AF66C4"/>
    <w:rsid w:val="00AF6BCD"/>
    <w:rsid w:val="00B01304"/>
    <w:rsid w:val="00B01992"/>
    <w:rsid w:val="00B02779"/>
    <w:rsid w:val="00B02A11"/>
    <w:rsid w:val="00B03278"/>
    <w:rsid w:val="00B03EC6"/>
    <w:rsid w:val="00B05BEC"/>
    <w:rsid w:val="00B06893"/>
    <w:rsid w:val="00B07961"/>
    <w:rsid w:val="00B07B73"/>
    <w:rsid w:val="00B10966"/>
    <w:rsid w:val="00B11132"/>
    <w:rsid w:val="00B112C4"/>
    <w:rsid w:val="00B1133A"/>
    <w:rsid w:val="00B13D1F"/>
    <w:rsid w:val="00B14BB1"/>
    <w:rsid w:val="00B16A31"/>
    <w:rsid w:val="00B172ED"/>
    <w:rsid w:val="00B20370"/>
    <w:rsid w:val="00B20608"/>
    <w:rsid w:val="00B211A1"/>
    <w:rsid w:val="00B21376"/>
    <w:rsid w:val="00B2251A"/>
    <w:rsid w:val="00B247F6"/>
    <w:rsid w:val="00B25031"/>
    <w:rsid w:val="00B26EC5"/>
    <w:rsid w:val="00B32276"/>
    <w:rsid w:val="00B3337E"/>
    <w:rsid w:val="00B33ED3"/>
    <w:rsid w:val="00B34D6B"/>
    <w:rsid w:val="00B3502B"/>
    <w:rsid w:val="00B35E98"/>
    <w:rsid w:val="00B37EF6"/>
    <w:rsid w:val="00B411C7"/>
    <w:rsid w:val="00B43284"/>
    <w:rsid w:val="00B445B5"/>
    <w:rsid w:val="00B44A4E"/>
    <w:rsid w:val="00B44FA3"/>
    <w:rsid w:val="00B47283"/>
    <w:rsid w:val="00B474B3"/>
    <w:rsid w:val="00B510B1"/>
    <w:rsid w:val="00B52C0D"/>
    <w:rsid w:val="00B54563"/>
    <w:rsid w:val="00B551AE"/>
    <w:rsid w:val="00B55EF6"/>
    <w:rsid w:val="00B56F2E"/>
    <w:rsid w:val="00B57030"/>
    <w:rsid w:val="00B579B7"/>
    <w:rsid w:val="00B6011D"/>
    <w:rsid w:val="00B61FD9"/>
    <w:rsid w:val="00B66BF2"/>
    <w:rsid w:val="00B70DED"/>
    <w:rsid w:val="00B721F8"/>
    <w:rsid w:val="00B72DAB"/>
    <w:rsid w:val="00B736D9"/>
    <w:rsid w:val="00B73FDE"/>
    <w:rsid w:val="00B7472F"/>
    <w:rsid w:val="00B761AF"/>
    <w:rsid w:val="00B76CF2"/>
    <w:rsid w:val="00B771D7"/>
    <w:rsid w:val="00B778D9"/>
    <w:rsid w:val="00B80BE2"/>
    <w:rsid w:val="00B8259F"/>
    <w:rsid w:val="00B82AD7"/>
    <w:rsid w:val="00B83D1A"/>
    <w:rsid w:val="00B849C4"/>
    <w:rsid w:val="00B852C9"/>
    <w:rsid w:val="00B93222"/>
    <w:rsid w:val="00B933F8"/>
    <w:rsid w:val="00B95312"/>
    <w:rsid w:val="00B97C0E"/>
    <w:rsid w:val="00BA33BA"/>
    <w:rsid w:val="00BA4A53"/>
    <w:rsid w:val="00BA5581"/>
    <w:rsid w:val="00BA5861"/>
    <w:rsid w:val="00BB055A"/>
    <w:rsid w:val="00BB2285"/>
    <w:rsid w:val="00BB5300"/>
    <w:rsid w:val="00BB5480"/>
    <w:rsid w:val="00BB7052"/>
    <w:rsid w:val="00BC08BC"/>
    <w:rsid w:val="00BC094C"/>
    <w:rsid w:val="00BC2FCC"/>
    <w:rsid w:val="00BC4131"/>
    <w:rsid w:val="00BC4BE3"/>
    <w:rsid w:val="00BC583E"/>
    <w:rsid w:val="00BC5C0D"/>
    <w:rsid w:val="00BC65DD"/>
    <w:rsid w:val="00BC6986"/>
    <w:rsid w:val="00BD2C15"/>
    <w:rsid w:val="00BD3438"/>
    <w:rsid w:val="00BD349D"/>
    <w:rsid w:val="00BD53B0"/>
    <w:rsid w:val="00BD5DAD"/>
    <w:rsid w:val="00BD6926"/>
    <w:rsid w:val="00BD7EC2"/>
    <w:rsid w:val="00BE1674"/>
    <w:rsid w:val="00BE1ECC"/>
    <w:rsid w:val="00BE3501"/>
    <w:rsid w:val="00BE6A38"/>
    <w:rsid w:val="00BE7697"/>
    <w:rsid w:val="00BF1038"/>
    <w:rsid w:val="00BF197B"/>
    <w:rsid w:val="00BF498A"/>
    <w:rsid w:val="00BF4A92"/>
    <w:rsid w:val="00BF4DA5"/>
    <w:rsid w:val="00BF6D74"/>
    <w:rsid w:val="00BF6FCE"/>
    <w:rsid w:val="00BF76A7"/>
    <w:rsid w:val="00C037C9"/>
    <w:rsid w:val="00C06B07"/>
    <w:rsid w:val="00C076B5"/>
    <w:rsid w:val="00C118A6"/>
    <w:rsid w:val="00C1254D"/>
    <w:rsid w:val="00C13A58"/>
    <w:rsid w:val="00C14850"/>
    <w:rsid w:val="00C16273"/>
    <w:rsid w:val="00C1763C"/>
    <w:rsid w:val="00C2004F"/>
    <w:rsid w:val="00C2081E"/>
    <w:rsid w:val="00C24472"/>
    <w:rsid w:val="00C25A32"/>
    <w:rsid w:val="00C25C4D"/>
    <w:rsid w:val="00C268B4"/>
    <w:rsid w:val="00C30CAA"/>
    <w:rsid w:val="00C3191E"/>
    <w:rsid w:val="00C340C7"/>
    <w:rsid w:val="00C35CF9"/>
    <w:rsid w:val="00C36198"/>
    <w:rsid w:val="00C3716A"/>
    <w:rsid w:val="00C37379"/>
    <w:rsid w:val="00C37E38"/>
    <w:rsid w:val="00C40B7D"/>
    <w:rsid w:val="00C40F66"/>
    <w:rsid w:val="00C41215"/>
    <w:rsid w:val="00C4203C"/>
    <w:rsid w:val="00C430FE"/>
    <w:rsid w:val="00C442ED"/>
    <w:rsid w:val="00C46025"/>
    <w:rsid w:val="00C4645F"/>
    <w:rsid w:val="00C5041F"/>
    <w:rsid w:val="00C519B0"/>
    <w:rsid w:val="00C51F3F"/>
    <w:rsid w:val="00C52059"/>
    <w:rsid w:val="00C5217D"/>
    <w:rsid w:val="00C539D0"/>
    <w:rsid w:val="00C56707"/>
    <w:rsid w:val="00C56E02"/>
    <w:rsid w:val="00C575D5"/>
    <w:rsid w:val="00C62669"/>
    <w:rsid w:val="00C65249"/>
    <w:rsid w:val="00C704BF"/>
    <w:rsid w:val="00C70701"/>
    <w:rsid w:val="00C72CB6"/>
    <w:rsid w:val="00C73216"/>
    <w:rsid w:val="00C7333C"/>
    <w:rsid w:val="00C81EB0"/>
    <w:rsid w:val="00C82ABB"/>
    <w:rsid w:val="00C83F77"/>
    <w:rsid w:val="00C84490"/>
    <w:rsid w:val="00C847BA"/>
    <w:rsid w:val="00C84D3C"/>
    <w:rsid w:val="00C86C78"/>
    <w:rsid w:val="00C87ABC"/>
    <w:rsid w:val="00C915A6"/>
    <w:rsid w:val="00C917D4"/>
    <w:rsid w:val="00C92ED1"/>
    <w:rsid w:val="00C93632"/>
    <w:rsid w:val="00C945A4"/>
    <w:rsid w:val="00C951B1"/>
    <w:rsid w:val="00C960AA"/>
    <w:rsid w:val="00CA2B27"/>
    <w:rsid w:val="00CA2F85"/>
    <w:rsid w:val="00CA31CA"/>
    <w:rsid w:val="00CA38D0"/>
    <w:rsid w:val="00CA47A7"/>
    <w:rsid w:val="00CA5E12"/>
    <w:rsid w:val="00CA6121"/>
    <w:rsid w:val="00CB0894"/>
    <w:rsid w:val="00CB091D"/>
    <w:rsid w:val="00CB1D7B"/>
    <w:rsid w:val="00CB4ED3"/>
    <w:rsid w:val="00CB59FE"/>
    <w:rsid w:val="00CB620C"/>
    <w:rsid w:val="00CB6E19"/>
    <w:rsid w:val="00CC0B3B"/>
    <w:rsid w:val="00CC0CED"/>
    <w:rsid w:val="00CC1F61"/>
    <w:rsid w:val="00CC31FD"/>
    <w:rsid w:val="00CC5132"/>
    <w:rsid w:val="00CC6B5C"/>
    <w:rsid w:val="00CC7EEA"/>
    <w:rsid w:val="00CD04AC"/>
    <w:rsid w:val="00CD127D"/>
    <w:rsid w:val="00CD149A"/>
    <w:rsid w:val="00CD26A9"/>
    <w:rsid w:val="00CD3C21"/>
    <w:rsid w:val="00CD4E9A"/>
    <w:rsid w:val="00CD5563"/>
    <w:rsid w:val="00CD5BDE"/>
    <w:rsid w:val="00CD7440"/>
    <w:rsid w:val="00CE0762"/>
    <w:rsid w:val="00CE22EA"/>
    <w:rsid w:val="00CE3261"/>
    <w:rsid w:val="00CE345D"/>
    <w:rsid w:val="00CE4BCD"/>
    <w:rsid w:val="00CE5BAE"/>
    <w:rsid w:val="00CE6F5F"/>
    <w:rsid w:val="00CE7400"/>
    <w:rsid w:val="00CF1648"/>
    <w:rsid w:val="00CF35A5"/>
    <w:rsid w:val="00CF3B92"/>
    <w:rsid w:val="00CF6416"/>
    <w:rsid w:val="00CF74CB"/>
    <w:rsid w:val="00D01511"/>
    <w:rsid w:val="00D015B6"/>
    <w:rsid w:val="00D0186B"/>
    <w:rsid w:val="00D01A26"/>
    <w:rsid w:val="00D023BD"/>
    <w:rsid w:val="00D036AA"/>
    <w:rsid w:val="00D0503E"/>
    <w:rsid w:val="00D054DF"/>
    <w:rsid w:val="00D05D0C"/>
    <w:rsid w:val="00D05D6E"/>
    <w:rsid w:val="00D067DC"/>
    <w:rsid w:val="00D112CB"/>
    <w:rsid w:val="00D11724"/>
    <w:rsid w:val="00D13159"/>
    <w:rsid w:val="00D134E6"/>
    <w:rsid w:val="00D14975"/>
    <w:rsid w:val="00D14F37"/>
    <w:rsid w:val="00D15C26"/>
    <w:rsid w:val="00D21298"/>
    <w:rsid w:val="00D26884"/>
    <w:rsid w:val="00D32311"/>
    <w:rsid w:val="00D32513"/>
    <w:rsid w:val="00D32BCB"/>
    <w:rsid w:val="00D32EC5"/>
    <w:rsid w:val="00D33226"/>
    <w:rsid w:val="00D33CAC"/>
    <w:rsid w:val="00D350EE"/>
    <w:rsid w:val="00D35776"/>
    <w:rsid w:val="00D41D36"/>
    <w:rsid w:val="00D438A1"/>
    <w:rsid w:val="00D45213"/>
    <w:rsid w:val="00D464E5"/>
    <w:rsid w:val="00D47E79"/>
    <w:rsid w:val="00D50141"/>
    <w:rsid w:val="00D502D9"/>
    <w:rsid w:val="00D50BA3"/>
    <w:rsid w:val="00D530D6"/>
    <w:rsid w:val="00D5344A"/>
    <w:rsid w:val="00D53677"/>
    <w:rsid w:val="00D5693B"/>
    <w:rsid w:val="00D57B1B"/>
    <w:rsid w:val="00D60348"/>
    <w:rsid w:val="00D636F4"/>
    <w:rsid w:val="00D653DB"/>
    <w:rsid w:val="00D658F5"/>
    <w:rsid w:val="00D67226"/>
    <w:rsid w:val="00D71ED1"/>
    <w:rsid w:val="00D72B62"/>
    <w:rsid w:val="00D73B5D"/>
    <w:rsid w:val="00D76B22"/>
    <w:rsid w:val="00D76B27"/>
    <w:rsid w:val="00D80937"/>
    <w:rsid w:val="00D80C39"/>
    <w:rsid w:val="00D84935"/>
    <w:rsid w:val="00D87174"/>
    <w:rsid w:val="00D90060"/>
    <w:rsid w:val="00D90CE1"/>
    <w:rsid w:val="00D91A45"/>
    <w:rsid w:val="00D92086"/>
    <w:rsid w:val="00D93750"/>
    <w:rsid w:val="00D93C26"/>
    <w:rsid w:val="00D93D53"/>
    <w:rsid w:val="00D94A58"/>
    <w:rsid w:val="00DA008B"/>
    <w:rsid w:val="00DA0398"/>
    <w:rsid w:val="00DA0614"/>
    <w:rsid w:val="00DA2BB5"/>
    <w:rsid w:val="00DA2DC7"/>
    <w:rsid w:val="00DA2E6E"/>
    <w:rsid w:val="00DA36B6"/>
    <w:rsid w:val="00DA49AA"/>
    <w:rsid w:val="00DA6B77"/>
    <w:rsid w:val="00DA6CEB"/>
    <w:rsid w:val="00DA7C61"/>
    <w:rsid w:val="00DB05EC"/>
    <w:rsid w:val="00DB217F"/>
    <w:rsid w:val="00DB2F00"/>
    <w:rsid w:val="00DB5BAB"/>
    <w:rsid w:val="00DB6776"/>
    <w:rsid w:val="00DB776F"/>
    <w:rsid w:val="00DC14CE"/>
    <w:rsid w:val="00DC212B"/>
    <w:rsid w:val="00DC2579"/>
    <w:rsid w:val="00DC3571"/>
    <w:rsid w:val="00DC39C2"/>
    <w:rsid w:val="00DC486F"/>
    <w:rsid w:val="00DC64AA"/>
    <w:rsid w:val="00DC6BEF"/>
    <w:rsid w:val="00DC7978"/>
    <w:rsid w:val="00DD0470"/>
    <w:rsid w:val="00DD0A14"/>
    <w:rsid w:val="00DD15AD"/>
    <w:rsid w:val="00DD2BDB"/>
    <w:rsid w:val="00DD4004"/>
    <w:rsid w:val="00DD4AB5"/>
    <w:rsid w:val="00DD5174"/>
    <w:rsid w:val="00DD66CD"/>
    <w:rsid w:val="00DD78E6"/>
    <w:rsid w:val="00DE312C"/>
    <w:rsid w:val="00DE4AC4"/>
    <w:rsid w:val="00DE6E2F"/>
    <w:rsid w:val="00DE7AC3"/>
    <w:rsid w:val="00DF1F9B"/>
    <w:rsid w:val="00DF2450"/>
    <w:rsid w:val="00DF3173"/>
    <w:rsid w:val="00DF4873"/>
    <w:rsid w:val="00DF54C3"/>
    <w:rsid w:val="00DF64A3"/>
    <w:rsid w:val="00DF685F"/>
    <w:rsid w:val="00DF7B20"/>
    <w:rsid w:val="00E00520"/>
    <w:rsid w:val="00E02731"/>
    <w:rsid w:val="00E05AD6"/>
    <w:rsid w:val="00E068F2"/>
    <w:rsid w:val="00E06E84"/>
    <w:rsid w:val="00E0783A"/>
    <w:rsid w:val="00E10D86"/>
    <w:rsid w:val="00E11CDC"/>
    <w:rsid w:val="00E11DD5"/>
    <w:rsid w:val="00E12C3A"/>
    <w:rsid w:val="00E12FF9"/>
    <w:rsid w:val="00E144BE"/>
    <w:rsid w:val="00E1542E"/>
    <w:rsid w:val="00E15940"/>
    <w:rsid w:val="00E2154A"/>
    <w:rsid w:val="00E22A5E"/>
    <w:rsid w:val="00E23A6A"/>
    <w:rsid w:val="00E32FE8"/>
    <w:rsid w:val="00E3315B"/>
    <w:rsid w:val="00E34F27"/>
    <w:rsid w:val="00E3602B"/>
    <w:rsid w:val="00E36C26"/>
    <w:rsid w:val="00E37FB2"/>
    <w:rsid w:val="00E416F8"/>
    <w:rsid w:val="00E41F43"/>
    <w:rsid w:val="00E42523"/>
    <w:rsid w:val="00E433FD"/>
    <w:rsid w:val="00E43BB9"/>
    <w:rsid w:val="00E51439"/>
    <w:rsid w:val="00E51575"/>
    <w:rsid w:val="00E5513B"/>
    <w:rsid w:val="00E55E47"/>
    <w:rsid w:val="00E57941"/>
    <w:rsid w:val="00E60141"/>
    <w:rsid w:val="00E61313"/>
    <w:rsid w:val="00E624A4"/>
    <w:rsid w:val="00E6264B"/>
    <w:rsid w:val="00E6425D"/>
    <w:rsid w:val="00E64EBB"/>
    <w:rsid w:val="00E65773"/>
    <w:rsid w:val="00E67CBD"/>
    <w:rsid w:val="00E7072E"/>
    <w:rsid w:val="00E71F1B"/>
    <w:rsid w:val="00E73DCC"/>
    <w:rsid w:val="00E74E86"/>
    <w:rsid w:val="00E75636"/>
    <w:rsid w:val="00E75709"/>
    <w:rsid w:val="00E7624D"/>
    <w:rsid w:val="00E7655F"/>
    <w:rsid w:val="00E76EEC"/>
    <w:rsid w:val="00E80833"/>
    <w:rsid w:val="00E80AFA"/>
    <w:rsid w:val="00E81E4A"/>
    <w:rsid w:val="00E82941"/>
    <w:rsid w:val="00E90DCE"/>
    <w:rsid w:val="00E90E00"/>
    <w:rsid w:val="00E91125"/>
    <w:rsid w:val="00E91209"/>
    <w:rsid w:val="00E9171E"/>
    <w:rsid w:val="00E93F1F"/>
    <w:rsid w:val="00EA1087"/>
    <w:rsid w:val="00EA2462"/>
    <w:rsid w:val="00EA2E3E"/>
    <w:rsid w:val="00EA355B"/>
    <w:rsid w:val="00EA3A46"/>
    <w:rsid w:val="00EA4EAA"/>
    <w:rsid w:val="00EA6810"/>
    <w:rsid w:val="00EA6980"/>
    <w:rsid w:val="00EA6AD5"/>
    <w:rsid w:val="00EA7C14"/>
    <w:rsid w:val="00EA7E13"/>
    <w:rsid w:val="00EA7EE5"/>
    <w:rsid w:val="00EB1B1F"/>
    <w:rsid w:val="00EB1D66"/>
    <w:rsid w:val="00EB34AE"/>
    <w:rsid w:val="00EB52AD"/>
    <w:rsid w:val="00EB6C49"/>
    <w:rsid w:val="00EB7321"/>
    <w:rsid w:val="00EB77F8"/>
    <w:rsid w:val="00EB7E86"/>
    <w:rsid w:val="00EC279A"/>
    <w:rsid w:val="00EC4F0F"/>
    <w:rsid w:val="00EC58DD"/>
    <w:rsid w:val="00EC7D43"/>
    <w:rsid w:val="00ED2783"/>
    <w:rsid w:val="00ED2E91"/>
    <w:rsid w:val="00ED79FF"/>
    <w:rsid w:val="00EE1972"/>
    <w:rsid w:val="00EE1E47"/>
    <w:rsid w:val="00EE3C68"/>
    <w:rsid w:val="00EE3E4E"/>
    <w:rsid w:val="00EE40BD"/>
    <w:rsid w:val="00EE4F15"/>
    <w:rsid w:val="00EE51F4"/>
    <w:rsid w:val="00EE615B"/>
    <w:rsid w:val="00EE6D5D"/>
    <w:rsid w:val="00EE7BBA"/>
    <w:rsid w:val="00EF1132"/>
    <w:rsid w:val="00EF3C0D"/>
    <w:rsid w:val="00EF3DB0"/>
    <w:rsid w:val="00EF51B4"/>
    <w:rsid w:val="00EF6980"/>
    <w:rsid w:val="00EF6C96"/>
    <w:rsid w:val="00EF73EC"/>
    <w:rsid w:val="00EF741E"/>
    <w:rsid w:val="00EF7BEA"/>
    <w:rsid w:val="00F00C71"/>
    <w:rsid w:val="00F04A25"/>
    <w:rsid w:val="00F06181"/>
    <w:rsid w:val="00F07FB2"/>
    <w:rsid w:val="00F103A5"/>
    <w:rsid w:val="00F13A04"/>
    <w:rsid w:val="00F1558A"/>
    <w:rsid w:val="00F15E20"/>
    <w:rsid w:val="00F1755F"/>
    <w:rsid w:val="00F176AB"/>
    <w:rsid w:val="00F17FEB"/>
    <w:rsid w:val="00F2098E"/>
    <w:rsid w:val="00F20E34"/>
    <w:rsid w:val="00F21387"/>
    <w:rsid w:val="00F218C5"/>
    <w:rsid w:val="00F2378B"/>
    <w:rsid w:val="00F23F9E"/>
    <w:rsid w:val="00F2509C"/>
    <w:rsid w:val="00F2524B"/>
    <w:rsid w:val="00F256B0"/>
    <w:rsid w:val="00F25B78"/>
    <w:rsid w:val="00F2610C"/>
    <w:rsid w:val="00F26FBD"/>
    <w:rsid w:val="00F30254"/>
    <w:rsid w:val="00F31578"/>
    <w:rsid w:val="00F320EC"/>
    <w:rsid w:val="00F33830"/>
    <w:rsid w:val="00F360E5"/>
    <w:rsid w:val="00F36139"/>
    <w:rsid w:val="00F369A5"/>
    <w:rsid w:val="00F37A33"/>
    <w:rsid w:val="00F4147D"/>
    <w:rsid w:val="00F41B58"/>
    <w:rsid w:val="00F41F0A"/>
    <w:rsid w:val="00F4253C"/>
    <w:rsid w:val="00F43965"/>
    <w:rsid w:val="00F445A7"/>
    <w:rsid w:val="00F45A16"/>
    <w:rsid w:val="00F460CD"/>
    <w:rsid w:val="00F476C8"/>
    <w:rsid w:val="00F52233"/>
    <w:rsid w:val="00F61440"/>
    <w:rsid w:val="00F621BB"/>
    <w:rsid w:val="00F646D2"/>
    <w:rsid w:val="00F65597"/>
    <w:rsid w:val="00F66592"/>
    <w:rsid w:val="00F67AE9"/>
    <w:rsid w:val="00F701CB"/>
    <w:rsid w:val="00F714B5"/>
    <w:rsid w:val="00F7356F"/>
    <w:rsid w:val="00F73EFC"/>
    <w:rsid w:val="00F74C18"/>
    <w:rsid w:val="00F77954"/>
    <w:rsid w:val="00F77DAA"/>
    <w:rsid w:val="00F805DD"/>
    <w:rsid w:val="00F81FF6"/>
    <w:rsid w:val="00F83BA3"/>
    <w:rsid w:val="00F83E95"/>
    <w:rsid w:val="00F84E50"/>
    <w:rsid w:val="00F84ED1"/>
    <w:rsid w:val="00F85920"/>
    <w:rsid w:val="00F85BB9"/>
    <w:rsid w:val="00F85E91"/>
    <w:rsid w:val="00F872C6"/>
    <w:rsid w:val="00F9384A"/>
    <w:rsid w:val="00F946D4"/>
    <w:rsid w:val="00F94EF5"/>
    <w:rsid w:val="00F96A66"/>
    <w:rsid w:val="00F97054"/>
    <w:rsid w:val="00F97DF1"/>
    <w:rsid w:val="00FA200B"/>
    <w:rsid w:val="00FA3A63"/>
    <w:rsid w:val="00FA3D1A"/>
    <w:rsid w:val="00FA78D9"/>
    <w:rsid w:val="00FA7938"/>
    <w:rsid w:val="00FB2880"/>
    <w:rsid w:val="00FB36BD"/>
    <w:rsid w:val="00FB44AB"/>
    <w:rsid w:val="00FB5ED9"/>
    <w:rsid w:val="00FB6155"/>
    <w:rsid w:val="00FB6285"/>
    <w:rsid w:val="00FB6AB0"/>
    <w:rsid w:val="00FC0EA8"/>
    <w:rsid w:val="00FC1C55"/>
    <w:rsid w:val="00FC3E75"/>
    <w:rsid w:val="00FC4F6D"/>
    <w:rsid w:val="00FC510E"/>
    <w:rsid w:val="00FC522A"/>
    <w:rsid w:val="00FC5415"/>
    <w:rsid w:val="00FC5CE1"/>
    <w:rsid w:val="00FC6959"/>
    <w:rsid w:val="00FC706F"/>
    <w:rsid w:val="00FD2CC3"/>
    <w:rsid w:val="00FD2F8F"/>
    <w:rsid w:val="00FD6104"/>
    <w:rsid w:val="00FD7585"/>
    <w:rsid w:val="00FD7ABD"/>
    <w:rsid w:val="00FE0074"/>
    <w:rsid w:val="00FE0286"/>
    <w:rsid w:val="00FE0749"/>
    <w:rsid w:val="00FE0C4F"/>
    <w:rsid w:val="00FE1A0B"/>
    <w:rsid w:val="00FE1A38"/>
    <w:rsid w:val="00FE1B65"/>
    <w:rsid w:val="00FE2D4A"/>
    <w:rsid w:val="00FE475E"/>
    <w:rsid w:val="00FE4C3F"/>
    <w:rsid w:val="00FE68F3"/>
    <w:rsid w:val="00FE788A"/>
    <w:rsid w:val="00FF04FB"/>
    <w:rsid w:val="00FF097E"/>
    <w:rsid w:val="00FF12D4"/>
    <w:rsid w:val="00FF5F6E"/>
    <w:rsid w:val="00FF61E0"/>
    <w:rsid w:val="00FF74B2"/>
    <w:rsid w:val="0CE478CF"/>
    <w:rsid w:val="0D58F479"/>
    <w:rsid w:val="133E6C71"/>
    <w:rsid w:val="201AAB9E"/>
    <w:rsid w:val="36733AB5"/>
    <w:rsid w:val="7B9FD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F1D627"/>
  <w15:docId w15:val="{91206281-5C58-4A2A-A56C-E8E330DD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5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table" w:customStyle="1" w:styleId="TableGrid14">
    <w:name w:val="Table Grid14"/>
    <w:basedOn w:val="TableNormal"/>
    <w:next w:val="TableGrid"/>
    <w:uiPriority w:val="39"/>
    <w:rsid w:val="007A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C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9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D32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D32CE"/>
    <w:rPr>
      <w:color w:val="2B579A"/>
      <w:shd w:val="clear" w:color="auto" w:fill="E6E6E6"/>
    </w:rPr>
  </w:style>
  <w:style w:type="table" w:customStyle="1" w:styleId="TableGrid19">
    <w:name w:val="Table Grid19"/>
    <w:basedOn w:val="TableNormal"/>
    <w:next w:val="TableGrid"/>
    <w:rsid w:val="00545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A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A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12D2"/>
    <w:rPr>
      <w:color w:val="605E5C"/>
      <w:shd w:val="clear" w:color="auto" w:fill="E1DFDD"/>
    </w:rPr>
  </w:style>
  <w:style w:type="table" w:customStyle="1" w:styleId="TableGrid22">
    <w:name w:val="Table Grid22"/>
    <w:basedOn w:val="TableNormal"/>
    <w:next w:val="TableGrid"/>
    <w:uiPriority w:val="39"/>
    <w:rsid w:val="00E624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D3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530FD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530FD9"/>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6820">
      <w:bodyDiv w:val="1"/>
      <w:marLeft w:val="0"/>
      <w:marRight w:val="0"/>
      <w:marTop w:val="0"/>
      <w:marBottom w:val="0"/>
      <w:divBdr>
        <w:top w:val="none" w:sz="0" w:space="0" w:color="auto"/>
        <w:left w:val="none" w:sz="0" w:space="0" w:color="auto"/>
        <w:bottom w:val="none" w:sz="0" w:space="0" w:color="auto"/>
        <w:right w:val="none" w:sz="0" w:space="0" w:color="auto"/>
      </w:divBdr>
    </w:div>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325090716">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5" ma:contentTypeDescription="Create a new document." ma:contentTypeScope="" ma:versionID="32465b97fb3f06b0e76b1246833ec6e5">
  <xsd:schema xmlns:xsd="http://www.w3.org/2001/XMLSchema" xmlns:xs="http://www.w3.org/2001/XMLSchema" xmlns:p="http://schemas.microsoft.com/office/2006/metadata/properties" xmlns:ns1="http://schemas.microsoft.com/sharepoint/v3" xmlns:ns3="572bd9a0-5b76-4ff6-81df-ed487fbb0a2c" xmlns:ns4="61a5aab9-b34f-432b-b202-0bb9f889ca3d" targetNamespace="http://schemas.microsoft.com/office/2006/metadata/properties" ma:root="true" ma:fieldsID="4a11bffa6a85760c58c0272e856ac382" ns1:_="" ns3:_="" ns4:_="">
    <xsd:import namespace="http://schemas.microsoft.com/sharepoint/v3"/>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72bd9a0-5b76-4ff6-81df-ed487fbb0a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2.xml><?xml version="1.0" encoding="utf-8"?>
<ds:datastoreItem xmlns:ds="http://schemas.openxmlformats.org/officeDocument/2006/customXml" ds:itemID="{FE73E942-3211-4AF3-8DC3-740A42E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21234-85DE-4BCB-B608-BD08A7405F18}">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61a5aab9-b34f-432b-b202-0bb9f889ca3d"/>
    <ds:schemaRef ds:uri="572bd9a0-5b76-4ff6-81df-ed487fbb0a2c"/>
  </ds:schemaRefs>
</ds:datastoreItem>
</file>

<file path=customXml/itemProps4.xml><?xml version="1.0" encoding="utf-8"?>
<ds:datastoreItem xmlns:ds="http://schemas.openxmlformats.org/officeDocument/2006/customXml" ds:itemID="{ADFEB203-0346-4717-8B83-2322AD41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Pritchard</dc:creator>
  <cp:keywords/>
  <dc:description/>
  <cp:lastModifiedBy>Katie Mitchell</cp:lastModifiedBy>
  <cp:revision>4</cp:revision>
  <cp:lastPrinted>2023-03-29T11:19:00Z</cp:lastPrinted>
  <dcterms:created xsi:type="dcterms:W3CDTF">2023-03-13T11:42:00Z</dcterms:created>
  <dcterms:modified xsi:type="dcterms:W3CDTF">2023-03-29T13:51:00Z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