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0D91C" w14:textId="77777777" w:rsidR="00EE6668" w:rsidRPr="00232812" w:rsidRDefault="00232812" w:rsidP="00232812">
      <w:pPr>
        <w:jc w:val="center"/>
        <w:rPr>
          <w:sz w:val="44"/>
        </w:rPr>
      </w:pPr>
      <w:r w:rsidRPr="00ED1CE7">
        <w:rPr>
          <w:rFonts w:ascii="Poppins" w:hAnsi="Poppins" w:cs="Poppin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8A96D" wp14:editId="450868AE">
                <wp:simplePos x="0" y="0"/>
                <wp:positionH relativeFrom="column">
                  <wp:posOffset>-923925</wp:posOffset>
                </wp:positionH>
                <wp:positionV relativeFrom="paragraph">
                  <wp:posOffset>-904875</wp:posOffset>
                </wp:positionV>
                <wp:extent cx="3810000" cy="1403985"/>
                <wp:effectExtent l="0" t="0" r="0" b="190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BE26D" w14:textId="77777777" w:rsidR="00232812" w:rsidRPr="006C30B6" w:rsidRDefault="00232812" w:rsidP="00232812">
                            <w:pPr>
                              <w:rPr>
                                <w:rFonts w:ascii="Poppins SemiBold" w:hAnsi="Poppins SemiBold" w:cs="Poppins SemiBol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Poppins SemiBold" w:hAnsi="Poppins SemiBold" w:cs="Poppins SemiBold"/>
                                <w:b/>
                                <w:sz w:val="28"/>
                              </w:rPr>
                              <w:t>NEW BUSINESS ITEM</w:t>
                            </w:r>
                            <w:r w:rsidRPr="006C30B6">
                              <w:rPr>
                                <w:rFonts w:ascii="Poppins SemiBold" w:hAnsi="Poppins SemiBold" w:cs="Poppins SemiBold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78A96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72.75pt;margin-top:-71.25pt;width:300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" stroked="f">
                <v:textbox style="mso-fit-shape-to-text:t">
                  <w:txbxContent>
                    <w:p w14:paraId="2E7BE26D" w14:textId="77777777" w:rsidR="00232812" w:rsidRPr="006C30B6" w:rsidRDefault="00232812" w:rsidP="00232812">
                      <w:pPr>
                        <w:rPr>
                          <w:rFonts w:ascii="Poppins SemiBold" w:hAnsi="Poppins SemiBold" w:cs="Poppins SemiBold"/>
                          <w:b/>
                          <w:sz w:val="28"/>
                        </w:rPr>
                      </w:pPr>
                      <w:r>
                        <w:rPr>
                          <w:rFonts w:ascii="Poppins SemiBold" w:hAnsi="Poppins SemiBold" w:cs="Poppins SemiBold"/>
                          <w:b/>
                          <w:sz w:val="28"/>
                        </w:rPr>
                        <w:t>NEW BUSINESS ITEM</w:t>
                      </w:r>
                      <w:r w:rsidRPr="006C30B6">
                        <w:rPr>
                          <w:rFonts w:ascii="Poppins SemiBold" w:hAnsi="Poppins SemiBold" w:cs="Poppins SemiBold"/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E6668" w:rsidRPr="00232812">
        <w:rPr>
          <w:b/>
          <w:bCs/>
          <w:sz w:val="44"/>
        </w:rPr>
        <w:t>M-E-M-O-R-A-N-D-U-M</w:t>
      </w:r>
    </w:p>
    <w:p w14:paraId="6FC602BA" w14:textId="77777777" w:rsidR="00EE6668" w:rsidRPr="00232812" w:rsidRDefault="00EE6668" w:rsidP="00232812">
      <w:pPr>
        <w:spacing w:after="0"/>
        <w:rPr>
          <w:rFonts w:ascii="Poppins" w:hAnsi="Poppins" w:cs="Poppins"/>
        </w:rPr>
      </w:pPr>
      <w:r w:rsidRPr="00232812">
        <w:rPr>
          <w:rFonts w:ascii="Poppins" w:hAnsi="Poppins" w:cs="Poppins"/>
        </w:rPr>
        <w:t>TO: Board of Delegates, Piedmont Triad Regional Council</w:t>
      </w:r>
    </w:p>
    <w:p w14:paraId="1A638791" w14:textId="77777777" w:rsidR="00EE6668" w:rsidRPr="00232812" w:rsidRDefault="00EE6668" w:rsidP="00232812">
      <w:pPr>
        <w:spacing w:after="0"/>
        <w:rPr>
          <w:rFonts w:ascii="Poppins" w:hAnsi="Poppins" w:cs="Poppins"/>
        </w:rPr>
      </w:pPr>
      <w:r w:rsidRPr="00232812">
        <w:rPr>
          <w:rFonts w:ascii="Poppins" w:hAnsi="Poppins" w:cs="Poppins"/>
        </w:rPr>
        <w:t>FROM: Michael Blair, Community Development Director</w:t>
      </w:r>
    </w:p>
    <w:p w14:paraId="77549206" w14:textId="77777777" w:rsidR="00EE6668" w:rsidRPr="00232812" w:rsidRDefault="00EE6668" w:rsidP="00232812">
      <w:pPr>
        <w:spacing w:after="0"/>
        <w:rPr>
          <w:rFonts w:ascii="Poppins" w:hAnsi="Poppins" w:cs="Poppins"/>
        </w:rPr>
      </w:pPr>
      <w:r w:rsidRPr="00232812">
        <w:rPr>
          <w:rFonts w:ascii="Poppins" w:hAnsi="Poppins" w:cs="Poppins"/>
        </w:rPr>
        <w:t>DATE: December 20, 2023</w:t>
      </w:r>
    </w:p>
    <w:p w14:paraId="0272F3E8" w14:textId="77777777" w:rsidR="00EE6668" w:rsidRPr="00232812" w:rsidRDefault="00EE6668" w:rsidP="00232812">
      <w:pPr>
        <w:spacing w:after="0"/>
        <w:rPr>
          <w:rFonts w:ascii="Poppins" w:hAnsi="Poppins" w:cs="Poppins"/>
        </w:rPr>
      </w:pPr>
      <w:r w:rsidRPr="00232812">
        <w:rPr>
          <w:rFonts w:ascii="Poppins" w:hAnsi="Poppins" w:cs="Poppins"/>
        </w:rPr>
        <w:t>RE: ESFRLP grant applications from the North Carolina Housing Finance Agency for 2024</w:t>
      </w:r>
    </w:p>
    <w:p w14:paraId="0F03CB59" w14:textId="77777777" w:rsidR="00232812" w:rsidRPr="00232812" w:rsidRDefault="00232812" w:rsidP="00232812">
      <w:pPr>
        <w:spacing w:after="0"/>
        <w:rPr>
          <w:rFonts w:ascii="Poppins" w:hAnsi="Poppins" w:cs="Poppins"/>
        </w:rPr>
      </w:pPr>
    </w:p>
    <w:p w14:paraId="1F9CD46D" w14:textId="77777777" w:rsidR="00EE6668" w:rsidRPr="00232812" w:rsidRDefault="00EE6668" w:rsidP="00EE6668">
      <w:pPr>
        <w:rPr>
          <w:rFonts w:ascii="Poppins" w:hAnsi="Poppins" w:cs="Poppins"/>
        </w:rPr>
      </w:pPr>
      <w:r w:rsidRPr="00232812">
        <w:rPr>
          <w:rFonts w:ascii="Poppins" w:hAnsi="Poppins" w:cs="Poppins"/>
        </w:rPr>
        <w:t xml:space="preserve">The North Carolina Housing Finance Agency has released the dates/counties available for funding under the ESFRLP24 grant cycle. The PTRC Community Development Department Staff requests approval to move forward with the PTRC applying for funds </w:t>
      </w:r>
      <w:r w:rsidR="004759D2" w:rsidRPr="00232812">
        <w:rPr>
          <w:rFonts w:ascii="Poppins" w:hAnsi="Poppins" w:cs="Poppins"/>
        </w:rPr>
        <w:t>for Ashe, Alamance, Montgomery, Rockingham, Surry, and Wilkes.</w:t>
      </w:r>
      <w:r w:rsidRPr="00232812">
        <w:rPr>
          <w:rFonts w:ascii="Poppins" w:hAnsi="Poppins" w:cs="Poppins"/>
        </w:rPr>
        <w:t xml:space="preserve">                                </w:t>
      </w:r>
    </w:p>
    <w:p w14:paraId="5E8E21D4" w14:textId="77777777" w:rsidR="00EE6668" w:rsidRPr="00232812" w:rsidRDefault="00EE6668" w:rsidP="00EE6668">
      <w:pPr>
        <w:rPr>
          <w:rFonts w:ascii="Poppins" w:hAnsi="Poppins" w:cs="Poppins"/>
        </w:rPr>
      </w:pPr>
      <w:r w:rsidRPr="00232812">
        <w:rPr>
          <w:rFonts w:ascii="Poppins" w:hAnsi="Poppins" w:cs="Poppins"/>
        </w:rPr>
        <w:t>The PTRC</w:t>
      </w:r>
      <w:r w:rsidR="004759D2" w:rsidRPr="00232812">
        <w:rPr>
          <w:rFonts w:ascii="Poppins" w:hAnsi="Poppins" w:cs="Poppins"/>
        </w:rPr>
        <w:t xml:space="preserve"> Community Development</w:t>
      </w:r>
      <w:r w:rsidRPr="00232812">
        <w:rPr>
          <w:rFonts w:ascii="Poppins" w:hAnsi="Poppins" w:cs="Poppins"/>
        </w:rPr>
        <w:t xml:space="preserve"> Department has been successful in being awarded this grant in 14 counties currently, with all of the applicant counties being ones the PTRC has been award</w:t>
      </w:r>
      <w:bookmarkStart w:id="0" w:name="_GoBack"/>
      <w:bookmarkEnd w:id="0"/>
      <w:r w:rsidRPr="00232812">
        <w:rPr>
          <w:rFonts w:ascii="Poppins" w:hAnsi="Poppins" w:cs="Poppins"/>
        </w:rPr>
        <w:t xml:space="preserve">ed previously. </w:t>
      </w:r>
    </w:p>
    <w:p w14:paraId="0DB49FC1" w14:textId="77777777" w:rsidR="00EE6668" w:rsidRPr="00232812" w:rsidRDefault="00EE6668" w:rsidP="00EE6668">
      <w:pPr>
        <w:rPr>
          <w:rFonts w:ascii="Poppins" w:hAnsi="Poppins" w:cs="Poppins"/>
        </w:rPr>
      </w:pPr>
      <w:r w:rsidRPr="00232812">
        <w:rPr>
          <w:rFonts w:ascii="Poppins" w:hAnsi="Poppins" w:cs="Poppins"/>
        </w:rPr>
        <w:t>The grants are set up on a loan pool system, so once t</w:t>
      </w:r>
      <w:r w:rsidR="004759D2" w:rsidRPr="00232812">
        <w:rPr>
          <w:rFonts w:ascii="Poppins" w:hAnsi="Poppins" w:cs="Poppins"/>
        </w:rPr>
        <w:t>hree</w:t>
      </w:r>
      <w:r w:rsidRPr="00232812">
        <w:rPr>
          <w:rFonts w:ascii="Poppins" w:hAnsi="Poppins" w:cs="Poppins"/>
        </w:rPr>
        <w:t xml:space="preserve"> initial units are completed, the PTRC can continue to apply for funding for homes until the funding supply is depleted. As an example, under the 20</w:t>
      </w:r>
      <w:r w:rsidR="00F63193" w:rsidRPr="00232812">
        <w:rPr>
          <w:rFonts w:ascii="Poppins" w:hAnsi="Poppins" w:cs="Poppins"/>
        </w:rPr>
        <w:t>20</w:t>
      </w:r>
      <w:r w:rsidRPr="00232812">
        <w:rPr>
          <w:rFonts w:ascii="Poppins" w:hAnsi="Poppins" w:cs="Poppins"/>
        </w:rPr>
        <w:t xml:space="preserve"> grant cycle for </w:t>
      </w:r>
      <w:r w:rsidR="00F63193" w:rsidRPr="00232812">
        <w:rPr>
          <w:rFonts w:ascii="Poppins" w:hAnsi="Poppins" w:cs="Poppins"/>
        </w:rPr>
        <w:t>Guilford</w:t>
      </w:r>
      <w:r w:rsidRPr="00232812">
        <w:rPr>
          <w:rFonts w:ascii="Poppins" w:hAnsi="Poppins" w:cs="Poppins"/>
        </w:rPr>
        <w:t xml:space="preserve"> County, PTRC committed to completing five units for $175,000 and will close out the grant cycle with </w:t>
      </w:r>
      <w:r w:rsidR="00F63193" w:rsidRPr="00232812">
        <w:rPr>
          <w:rFonts w:ascii="Poppins" w:hAnsi="Poppins" w:cs="Poppins"/>
        </w:rPr>
        <w:t>thirteen</w:t>
      </w:r>
      <w:r w:rsidRPr="00232812">
        <w:rPr>
          <w:rFonts w:ascii="Poppins" w:hAnsi="Poppins" w:cs="Poppins"/>
        </w:rPr>
        <w:t xml:space="preserve"> units completed totaling</w:t>
      </w:r>
      <w:r w:rsidR="00F63193" w:rsidRPr="00232812">
        <w:rPr>
          <w:rFonts w:ascii="Poppins" w:hAnsi="Poppins" w:cs="Poppins"/>
        </w:rPr>
        <w:t xml:space="preserve"> </w:t>
      </w:r>
      <w:r w:rsidR="00F63193" w:rsidRPr="00232812">
        <w:rPr>
          <w:rFonts w:ascii="Poppins" w:hAnsi="Poppins" w:cs="Poppins"/>
          <w:shd w:val="clear" w:color="auto" w:fill="FFFFFF"/>
        </w:rPr>
        <w:t xml:space="preserve">$499,246 </w:t>
      </w:r>
      <w:r w:rsidRPr="00232812">
        <w:rPr>
          <w:rFonts w:ascii="Poppins" w:hAnsi="Poppins" w:cs="Poppins"/>
        </w:rPr>
        <w:t xml:space="preserve">in home repairs for residents of the county. </w:t>
      </w:r>
    </w:p>
    <w:p w14:paraId="65616B81" w14:textId="77777777" w:rsidR="00EE6668" w:rsidRPr="00232812" w:rsidRDefault="00EE6668" w:rsidP="00EE6668">
      <w:pPr>
        <w:rPr>
          <w:rFonts w:ascii="Poppins" w:hAnsi="Poppins" w:cs="Poppins"/>
        </w:rPr>
      </w:pPr>
      <w:r w:rsidRPr="00232812">
        <w:rPr>
          <w:rFonts w:ascii="Poppins" w:hAnsi="Poppins" w:cs="Poppins"/>
          <w:b/>
          <w:bCs/>
        </w:rPr>
        <w:t xml:space="preserve">ACTION REQUESTED: </w:t>
      </w:r>
    </w:p>
    <w:p w14:paraId="65661D23" w14:textId="77777777" w:rsidR="00AB07AE" w:rsidRPr="00232812" w:rsidRDefault="00EE6668" w:rsidP="00EE6668">
      <w:pPr>
        <w:rPr>
          <w:rFonts w:ascii="Poppins" w:hAnsi="Poppins" w:cs="Poppins"/>
        </w:rPr>
      </w:pPr>
      <w:r w:rsidRPr="00232812">
        <w:rPr>
          <w:rFonts w:ascii="Poppins" w:hAnsi="Poppins" w:cs="Poppins"/>
        </w:rPr>
        <w:t>The PTRC Community Development Department is requesting approval from the board to move forward with applying for the NCHFA ESFRLP24 grants.</w:t>
      </w:r>
    </w:p>
    <w:sectPr w:rsidR="00AB07AE" w:rsidRPr="00232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68"/>
    <w:rsid w:val="00232812"/>
    <w:rsid w:val="004759D2"/>
    <w:rsid w:val="00AB07AE"/>
    <w:rsid w:val="00C365C6"/>
    <w:rsid w:val="00EE6668"/>
    <w:rsid w:val="00F6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4C236"/>
  <w15:chartTrackingRefBased/>
  <w15:docId w15:val="{0011E328-91EF-41A0-9BDB-74127F17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A61CE21F8624B92C194655DFE6720" ma:contentTypeVersion="17" ma:contentTypeDescription="Create a new document." ma:contentTypeScope="" ma:versionID="2321ef527c7ccf8de040e6298fbc08af">
  <xsd:schema xmlns:xsd="http://www.w3.org/2001/XMLSchema" xmlns:xs="http://www.w3.org/2001/XMLSchema" xmlns:p="http://schemas.microsoft.com/office/2006/metadata/properties" xmlns:ns1="http://schemas.microsoft.com/sharepoint/v3" xmlns:ns3="572bd9a0-5b76-4ff6-81df-ed487fbb0a2c" xmlns:ns4="61a5aab9-b34f-432b-b202-0bb9f889ca3d" targetNamespace="http://schemas.microsoft.com/office/2006/metadata/properties" ma:root="true" ma:fieldsID="08e46debdf3beb1836d6dbfb045c425c" ns1:_="" ns3:_="" ns4:_="">
    <xsd:import namespace="http://schemas.microsoft.com/sharepoint/v3"/>
    <xsd:import namespace="572bd9a0-5b76-4ff6-81df-ed487fbb0a2c"/>
    <xsd:import namespace="61a5aab9-b34f-432b-b202-0bb9f889ca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bd9a0-5b76-4ff6-81df-ed487fbb0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5aab9-b34f-432b-b202-0bb9f889ca3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572bd9a0-5b76-4ff6-81df-ed487fbb0a2c" xsi:nil="true"/>
  </documentManagement>
</p:properties>
</file>

<file path=customXml/itemProps1.xml><?xml version="1.0" encoding="utf-8"?>
<ds:datastoreItem xmlns:ds="http://schemas.openxmlformats.org/officeDocument/2006/customXml" ds:itemID="{F3915295-FAFF-4500-8C9A-DDC4B99D8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2bd9a0-5b76-4ff6-81df-ed487fbb0a2c"/>
    <ds:schemaRef ds:uri="61a5aab9-b34f-432b-b202-0bb9f889c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F25759-C597-4322-920D-1ABB50D67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0D62C-8586-4F66-89E7-3626BBF352DA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61a5aab9-b34f-432b-b202-0bb9f889ca3d"/>
    <ds:schemaRef ds:uri="572bd9a0-5b76-4ff6-81df-ed487fbb0a2c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Blair</dc:creator>
  <cp:keywords/>
  <dc:description/>
  <cp:lastModifiedBy>Katie Mitchell</cp:lastModifiedBy>
  <cp:revision>2</cp:revision>
  <cp:lastPrinted>2023-12-19T16:01:00Z</cp:lastPrinted>
  <dcterms:created xsi:type="dcterms:W3CDTF">2023-12-19T16:12:00Z</dcterms:created>
  <dcterms:modified xsi:type="dcterms:W3CDTF">2023-12-19T16:12:00Z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0x010100860A61CE21F8624B92C194655DFE6720</vt:lpwstr>
  </property>
</Properties>
</file>